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US"/>
        </w:rPr>
      </w:pPr>
      <w:r>
        <w:rPr>
          <w:rFonts w:cs="Arial" w:ascii="Arial" w:hAnsi="Arial"/>
          <w:b/>
          <w:bCs/>
          <w:sz w:val="26"/>
          <w:szCs w:val="26"/>
          <w:lang w:val="en-US"/>
        </w:rPr>
        <w:t>GUIDANCE RESEARCH AREAS AND TOPICS</w:t>
      </w:r>
    </w:p>
    <w:p>
      <w:pPr>
        <w:pStyle w:val="Normal"/>
        <w:shd w:val="clear" w:color="auto" w:fill="FFFFFF"/>
        <w:spacing w:lineRule="auto" w:line="276" w:before="0" w:after="0"/>
        <w:jc w:val="center"/>
        <w:rPr>
          <w:lang w:val="en-US"/>
        </w:rPr>
      </w:pPr>
      <w:r>
        <w:rPr>
          <w:rFonts w:eastAsia="Times New Roman" w:cs="Arial" w:ascii="Arial" w:hAnsi="Arial"/>
          <w:b/>
          <w:bCs/>
          <w:sz w:val="26"/>
          <w:szCs w:val="26"/>
          <w:lang w:val="en-US" w:eastAsia="ro-RO"/>
        </w:rPr>
        <w:t>INTERNATIONAL LAW CONFERENCE,</w:t>
        <w:br/>
        <w:t>EUROPEAN STUDIES AND INTERNATIONAL RELATIONS, 10TH EDITION</w:t>
      </w:r>
    </w:p>
    <w:p>
      <w:pPr>
        <w:pStyle w:val="Normal"/>
        <w:shd w:val="clear" w:color="auto" w:fill="FFFFFF"/>
        <w:spacing w:lineRule="auto" w:line="276" w:before="0" w:after="0"/>
        <w:jc w:val="center"/>
        <w:rPr>
          <w:lang w:val="en-US"/>
        </w:rPr>
      </w:pPr>
      <w:r>
        <w:rPr>
          <w:rFonts w:eastAsia="Times New Roman" w:cs="Arial" w:ascii="Arial" w:hAnsi="Arial"/>
          <w:b/>
          <w:bCs/>
          <w:color w:val="666666"/>
          <w:sz w:val="26"/>
          <w:szCs w:val="26"/>
          <w:lang w:val="en-US" w:eastAsia="ro-RO"/>
        </w:rPr>
        <w:t>on the topic</w:t>
      </w:r>
    </w:p>
    <w:p>
      <w:pPr>
        <w:pStyle w:val="Normal"/>
        <w:jc w:val="center"/>
        <w:rPr>
          <w:lang w:val="en-US"/>
        </w:rPr>
      </w:pPr>
      <w:r>
        <w:rPr>
          <w:rFonts w:cs="Arial" w:ascii="Arial" w:hAnsi="Arial"/>
          <w:b/>
          <w:i/>
          <w:sz w:val="26"/>
          <w:szCs w:val="26"/>
          <w:lang w:val="en-US"/>
        </w:rPr>
        <w:t>„</w:t>
      </w:r>
      <w:r>
        <w:rPr>
          <w:rFonts w:cs="Arial" w:ascii="Arial" w:hAnsi="Arial"/>
          <w:b/>
          <w:i/>
          <w:sz w:val="26"/>
          <w:szCs w:val="26"/>
          <w:lang w:val="en-US"/>
        </w:rPr>
        <w:t>Law, European Studies and International Relations - The patent universality of inheritance law. Lex successionis between legislative tradition and modern values”</w:t>
      </w:r>
      <w:r>
        <w:rPr>
          <w:rFonts w:cs="Arial" w:ascii="Arial" w:hAnsi="Arial"/>
          <w:i/>
          <w:sz w:val="26"/>
          <w:szCs w:val="26"/>
          <w:lang w:val="en-US"/>
        </w:rPr>
        <w:t xml:space="preserve"> </w:t>
      </w:r>
    </w:p>
    <w:p>
      <w:pPr>
        <w:pStyle w:val="Normal"/>
        <w:shd w:val="clear" w:color="auto" w:fill="FFFFFF"/>
        <w:spacing w:lineRule="auto" w:line="276" w:before="0" w:after="0"/>
        <w:jc w:val="center"/>
        <w:rPr>
          <w:lang w:val="en-US"/>
        </w:rPr>
      </w:pPr>
      <w:r>
        <w:rPr>
          <w:rFonts w:eastAsia="Times New Roman" w:cs="Arial" w:ascii="Arial" w:hAnsi="Arial"/>
          <w:b/>
          <w:bCs/>
          <w:sz w:val="26"/>
          <w:szCs w:val="26"/>
          <w:lang w:val="en-US" w:eastAsia="ro-RO"/>
        </w:rPr>
        <w:t>Faculty of Law</w:t>
      </w:r>
    </w:p>
    <w:p>
      <w:pPr>
        <w:pStyle w:val="Normal"/>
        <w:shd w:val="clear" w:color="auto" w:fill="FFFFFF"/>
        <w:spacing w:lineRule="auto" w:line="276" w:before="0" w:after="0"/>
        <w:jc w:val="center"/>
        <w:rPr>
          <w:lang w:val="en-US"/>
        </w:rPr>
      </w:pPr>
      <w:r>
        <w:rPr>
          <w:rFonts w:eastAsia="Times New Roman" w:cs="Arial" w:ascii="Arial" w:hAnsi="Arial"/>
          <w:b/>
          <w:bCs/>
          <w:sz w:val="26"/>
          <w:szCs w:val="26"/>
          <w:lang w:val="en-US" w:eastAsia="ro-RO"/>
        </w:rPr>
        <w:t xml:space="preserve"> </w:t>
      </w:r>
      <w:r>
        <w:rPr>
          <w:rFonts w:eastAsia="Times New Roman" w:cs="Arial" w:ascii="Arial" w:hAnsi="Arial"/>
          <w:b/>
          <w:bCs/>
          <w:sz w:val="26"/>
          <w:szCs w:val="26"/>
          <w:lang w:val="en-US" w:eastAsia="ro-RO"/>
        </w:rPr>
        <w:t>Titu Maiorescu University of Bucharest</w:t>
      </w:r>
    </w:p>
    <w:p>
      <w:pPr>
        <w:pStyle w:val="Normal"/>
        <w:jc w:val="center"/>
        <w:rPr>
          <w:lang w:val="en-US"/>
        </w:rPr>
      </w:pPr>
      <w:r>
        <w:rPr>
          <w:rFonts w:eastAsia="Times New Roman" w:cs="Arial" w:ascii="Arial" w:hAnsi="Arial"/>
          <w:b/>
          <w:bCs/>
          <w:sz w:val="26"/>
          <w:szCs w:val="26"/>
          <w:lang w:val="en-US" w:eastAsia="ro-RO"/>
        </w:rPr>
        <w:t>Bucharest, May 12-13, 2022</w:t>
      </w:r>
    </w:p>
    <w:tbl>
      <w:tblPr>
        <w:tblStyle w:val="Tabelgril"/>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shd w:color="auto" w:fill="66FF33" w:val="clear"/>
          </w:tcPr>
          <w:p>
            <w:pPr>
              <w:pStyle w:val="Normal"/>
              <w:widowControl w:val="false"/>
              <w:suppressAutoHyphens w:val="true"/>
              <w:spacing w:lineRule="auto" w:line="240" w:before="0" w:after="0"/>
              <w:jc w:val="center"/>
              <w:rPr>
                <w:rFonts w:ascii="Arial" w:hAnsi="Arial" w:eastAsia="Calibri" w:cs="Arial"/>
                <w:b/>
                <w:b/>
                <w:bCs/>
                <w:kern w:val="0"/>
                <w:sz w:val="26"/>
                <w:szCs w:val="26"/>
                <w:highlight w:val="none"/>
                <w:shd w:fill="auto" w:val="clear"/>
                <w:lang w:val="en-US" w:eastAsia="en-US" w:bidi="ar-SA"/>
              </w:rPr>
            </w:pPr>
            <w:r>
              <w:rPr>
                <w:rFonts w:eastAsia="Calibri" w:cs="Arial" w:ascii="Arial" w:hAnsi="Arial"/>
                <w:b/>
                <w:bCs/>
                <w:kern w:val="0"/>
                <w:sz w:val="26"/>
                <w:szCs w:val="26"/>
                <w:shd w:fill="auto" w:val="clear"/>
                <w:lang w:val="en-US" w:eastAsia="en-US" w:bidi="ar-SA"/>
              </w:rPr>
              <w:t>CIVIL LAW. GENERAL</w:t>
            </w:r>
          </w:p>
        </w:tc>
      </w:tr>
      <w:tr>
        <w:trPr/>
        <w:tc>
          <w:tcPr>
            <w:tcW w:w="9062" w:type="dxa"/>
            <w:tcBorders/>
          </w:tcPr>
          <w:p>
            <w:pPr>
              <w:pStyle w:val="ListParagraph"/>
              <w:widowControl w:val="false"/>
              <w:suppressAutoHyphens w:val="true"/>
              <w:spacing w:lineRule="auto" w:line="240" w:before="0" w:after="0"/>
              <w:ind w:left="720" w:right="315" w:hanging="0"/>
              <w:contextualSpacing/>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procurement of organs, tissues and human cells from a deceased person under European law</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procurement of organs, human tissues and cells from a deceased person in the light of national, European and international regulations</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Lifetime consent for the donation of organs, tissues and cells from a deceased person</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 xml:space="preserve">Respect due to the deceased from the perspective of personhood rights- </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Assisted suicide: current legal issues and controversies</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legal status of the person conceived, but not born in terms of their capacity for succession</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succession capacity of the missing natural person</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succession capacity of the legal entity in existence at the date of opening the inheritance proceedings</w:t>
            </w:r>
          </w:p>
          <w:p>
            <w:pPr>
              <w:pStyle w:val="ListParagraph"/>
              <w:widowControl w:val="false"/>
              <w:numPr>
                <w:ilvl w:val="0"/>
                <w:numId w:val="2"/>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Legal aspects regarding the will concluded by the minor with limited capacity</w:t>
            </w:r>
          </w:p>
          <w:p>
            <w:pPr>
              <w:pStyle w:val="ListParagraph"/>
              <w:widowControl w:val="false"/>
              <w:numPr>
                <w:ilvl w:val="0"/>
                <w:numId w:val="2"/>
              </w:numPr>
              <w:tabs>
                <w:tab w:val="clear" w:pos="708"/>
                <w:tab w:val="left" w:pos="738" w:leader="none"/>
              </w:tabs>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Legislative and practical aspects in the matter of the inability to dispose by bequest of the judicial interdict</w:t>
            </w:r>
          </w:p>
          <w:p>
            <w:pPr>
              <w:pStyle w:val="ListParagraph"/>
              <w:widowControl w:val="false"/>
              <w:tabs>
                <w:tab w:val="clear" w:pos="708"/>
                <w:tab w:val="left" w:pos="738" w:leader="none"/>
              </w:tabs>
              <w:suppressAutoHyphens w:val="true"/>
              <w:spacing w:lineRule="auto" w:line="240" w:before="0" w:after="0"/>
              <w:ind w:left="720" w:right="315" w:hanging="0"/>
              <w:contextualSpacing/>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Autospacing="1" w:after="0"/>
              <w:ind w:left="720" w:hanging="0"/>
              <w:jc w:val="center"/>
              <w:rPr>
                <w:rFonts w:ascii="Arial" w:hAnsi="Arial" w:eastAsia="Times New Roman" w:cs="Arial"/>
                <w:b/>
                <w:b/>
                <w:bCs/>
                <w:color w:val="26282A"/>
                <w:kern w:val="0"/>
                <w:sz w:val="26"/>
                <w:szCs w:val="26"/>
                <w:highlight w:val="none"/>
                <w:shd w:fill="auto" w:val="clear"/>
                <w:lang w:val="en-US" w:eastAsia="en-US" w:bidi="ar-SA"/>
              </w:rPr>
            </w:pPr>
            <w:r>
              <w:rPr>
                <w:rFonts w:eastAsia="Times New Roman" w:cs="Arial" w:ascii="Arial" w:hAnsi="Arial"/>
                <w:b/>
                <w:bCs/>
                <w:color w:val="26282A"/>
                <w:kern w:val="0"/>
                <w:sz w:val="26"/>
                <w:szCs w:val="26"/>
                <w:shd w:fill="auto" w:val="clear"/>
                <w:lang w:val="en-US" w:eastAsia="en-US" w:bidi="ar-SA"/>
              </w:rPr>
              <w:t>CIVIL LAW. REAL RIGHTS</w:t>
            </w:r>
          </w:p>
        </w:tc>
      </w:tr>
      <w:tr>
        <w:trPr/>
        <w:tc>
          <w:tcPr>
            <w:tcW w:w="9062" w:type="dxa"/>
            <w:tcBorders/>
          </w:tcPr>
          <w:p>
            <w:pPr>
              <w:pStyle w:val="ListParagraph"/>
              <w:widowControl w:val="false"/>
              <w:suppressAutoHyphens w:val="true"/>
              <w:spacing w:lineRule="auto" w:line="240" w:before="0" w:after="0"/>
              <w:ind w:left="720" w:right="315" w:hanging="0"/>
              <w:contextualSpacing/>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Leaving the timeshare of the periodical co-owners heirs. Means and modalities.</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01F1E"/>
                <w:kern w:val="0"/>
                <w:sz w:val="26"/>
                <w:szCs w:val="26"/>
                <w:lang w:val="en-US" w:eastAsia="en-US" w:bidi="ar-SA"/>
              </w:rPr>
              <w:t>The legal nature of the periodic co-ownership in case of vacant inheritance.</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The nullity of the bequest for the immoral case when it is issued exclusively for the purpose of disinheritance.</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Retroactivity of the quality of asset holder regarding the accepting heir.</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01F1E"/>
                <w:kern w:val="0"/>
                <w:sz w:val="26"/>
                <w:szCs w:val="26"/>
                <w:lang w:val="en-US" w:eastAsia="en-US" w:bidi="ar-SA"/>
              </w:rPr>
              <w:t>The transmission of the patrimony in its entirety. Differentiation between categories of successors and problems in court practice.</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Reconstitution of the right to private property at the request of the heirs.</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Theoretical and practical implications of expropriation for reasons of public utility in the event of the death of the expropriated and the exercise by the heirs of the special right of restitution.</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 xml:space="preserve">The possibility of the heirs to request the junction of the possessions in order to invoke </w:t>
            </w:r>
            <w:r>
              <w:rPr>
                <w:rFonts w:eastAsia="Times New Roman" w:cs="Arial" w:ascii="Arial" w:hAnsi="Arial"/>
                <w:i/>
                <w:iCs/>
                <w:color w:val="26282A"/>
                <w:kern w:val="0"/>
                <w:sz w:val="26"/>
                <w:szCs w:val="26"/>
                <w:lang w:val="en-US" w:eastAsia="en-US" w:bidi="ar-SA"/>
              </w:rPr>
              <w:t>usucapio</w:t>
            </w:r>
            <w:r>
              <w:rPr>
                <w:rFonts w:eastAsia="Times New Roman" w:cs="Arial" w:ascii="Arial" w:hAnsi="Arial"/>
                <w:color w:val="26282A"/>
                <w:kern w:val="0"/>
                <w:sz w:val="26"/>
                <w:szCs w:val="26"/>
                <w:lang w:val="en-US" w:eastAsia="en-US" w:bidi="ar-SA"/>
              </w:rPr>
              <w:t>. Conditions and problems of judicial practice.</w:t>
            </w:r>
          </w:p>
          <w:p>
            <w:pPr>
              <w:pStyle w:val="ListParagraph"/>
              <w:widowControl w:val="false"/>
              <w:numPr>
                <w:ilvl w:val="0"/>
                <w:numId w:val="3"/>
              </w:numPr>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Requests for restitution of property abusively taken over during the communist regime. Possibility of heirs to request restitution.</w:t>
            </w:r>
          </w:p>
          <w:p>
            <w:pPr>
              <w:pStyle w:val="ListParagraph"/>
              <w:widowControl w:val="false"/>
              <w:numPr>
                <w:ilvl w:val="0"/>
                <w:numId w:val="3"/>
              </w:numPr>
              <w:tabs>
                <w:tab w:val="clear" w:pos="708"/>
                <w:tab w:val="left" w:pos="738" w:leader="none"/>
              </w:tabs>
              <w:suppressAutoHyphens w:val="true"/>
              <w:spacing w:lineRule="auto" w:line="240" w:before="0" w:after="0"/>
              <w:ind w:left="720" w:right="315" w:hanging="360"/>
              <w:contextualSpacing/>
              <w:jc w:val="both"/>
              <w:rPr>
                <w:rFonts w:ascii="Arial" w:hAnsi="Arial" w:eastAsia="Times New Roman" w:cs="Arial"/>
                <w:color w:val="201F1E"/>
                <w:kern w:val="0"/>
                <w:sz w:val="26"/>
                <w:szCs w:val="26"/>
                <w:lang w:val="en-US" w:eastAsia="en-US" w:bidi="ar-SA"/>
              </w:rPr>
            </w:pPr>
            <w:r>
              <w:rPr>
                <w:rFonts w:eastAsia="Times New Roman" w:cs="Arial" w:ascii="Arial" w:hAnsi="Arial"/>
                <w:color w:val="26282A"/>
                <w:kern w:val="0"/>
                <w:sz w:val="26"/>
                <w:szCs w:val="26"/>
                <w:lang w:val="en-US" w:eastAsia="en-US" w:bidi="ar-SA"/>
              </w:rPr>
              <w:t>Do the real rights of guarantee survive the deceased?</w:t>
            </w:r>
          </w:p>
          <w:p>
            <w:pPr>
              <w:pStyle w:val="ListParagraph"/>
              <w:widowControl w:val="false"/>
              <w:suppressAutoHyphens w:val="true"/>
              <w:spacing w:lineRule="auto" w:line="240" w:before="0" w:after="0"/>
              <w:ind w:left="720" w:right="315" w:hanging="0"/>
              <w:contextualSpacing/>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CIVIL LAW. SPECIAL CONTRACTS</w:t>
            </w:r>
          </w:p>
        </w:tc>
      </w:tr>
      <w:tr>
        <w:trPr/>
        <w:tc>
          <w:tcPr>
            <w:tcW w:w="9062" w:type="dxa"/>
            <w:tcBorders/>
          </w:tcPr>
          <w:p>
            <w:pPr>
              <w:pStyle w:val="ListParagraph"/>
              <w:widowControl w:val="false"/>
              <w:suppressAutoHyphens w:val="true"/>
              <w:spacing w:lineRule="auto" w:line="240" w:before="0" w:after="0"/>
              <w:ind w:left="72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Current issues regarding the sale of an inheritance.</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sale of goods belonging to an open but undisputed inheritance.</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donation contract in the context of succession and the relationship with the institution of the accounting of excessive concessions.</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Aspects of succession law in the matter of the lease contract.</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 xml:space="preserve">The effects of opening the maintenance debtor's succession on the performance of the contract. </w:t>
            </w:r>
            <w:bookmarkStart w:id="0" w:name="_Hlk94041760"/>
            <w:bookmarkEnd w:id="0"/>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fate of the consumer loan contract after the death of the borrower.</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cs="Arial"/>
                <w:kern w:val="0"/>
                <w:sz w:val="26"/>
                <w:szCs w:val="26"/>
                <w:lang w:val="en-US" w:eastAsia="en-US" w:bidi="ar-SA"/>
              </w:rPr>
            </w:pPr>
            <w:r>
              <w:rPr>
                <w:rFonts w:eastAsia="Times New Roman" w:cs="Arial" w:ascii="Arial" w:hAnsi="Arial"/>
                <w:kern w:val="0"/>
                <w:sz w:val="26"/>
                <w:szCs w:val="26"/>
                <w:lang w:val="en-US" w:eastAsia="ro-RO" w:bidi="ar-SA"/>
              </w:rPr>
              <w:t>Donation as a way to materialize the parental partition inter vivos.</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effects of opening the successor of the depositor in the case of the bank deposit contract.</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fate of the eviction guarantee in the event of the heir's death without inheritors.</w:t>
            </w:r>
          </w:p>
          <w:p>
            <w:pPr>
              <w:pStyle w:val="ListParagraph"/>
              <w:widowControl w:val="false"/>
              <w:numPr>
                <w:ilvl w:val="0"/>
                <w:numId w:val="4"/>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effects of the opening of the succession of the parties to the mandate contract on the performance of the contract.</w:t>
            </w:r>
          </w:p>
          <w:p>
            <w:pPr>
              <w:pStyle w:val="ListParagraph"/>
              <w:widowControl w:val="false"/>
              <w:suppressAutoHyphens w:val="true"/>
              <w:spacing w:lineRule="auto" w:line="240" w:before="0" w:after="0"/>
              <w:ind w:left="72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ind w:right="315" w:hanging="0"/>
              <w:jc w:val="center"/>
              <w:rPr>
                <w:rFonts w:ascii="Arial" w:hAnsi="Arial" w:eastAsia="Times New Roman" w:cs="Arial"/>
                <w:b/>
                <w:b/>
                <w:bCs/>
                <w:kern w:val="0"/>
                <w:sz w:val="26"/>
                <w:szCs w:val="26"/>
                <w:lang w:val="en-US" w:eastAsia="ro-RO" w:bidi="ar-SA"/>
              </w:rPr>
            </w:pPr>
            <w:r>
              <w:rPr>
                <w:rFonts w:eastAsia="Times New Roman" w:cs="Arial" w:ascii="Arial" w:hAnsi="Arial"/>
                <w:b/>
                <w:bCs/>
                <w:kern w:val="0"/>
                <w:sz w:val="26"/>
                <w:szCs w:val="26"/>
                <w:lang w:val="en-US" w:eastAsia="ro-RO" w:bidi="ar-SA"/>
              </w:rPr>
              <w:t>CIVIL LAW. SUCCESSIONS.</w:t>
            </w:r>
          </w:p>
        </w:tc>
      </w:tr>
      <w:tr>
        <w:trPr/>
        <w:tc>
          <w:tcPr>
            <w:tcW w:w="9062" w:type="dxa"/>
            <w:tcBorders/>
          </w:tcPr>
          <w:p>
            <w:pPr>
              <w:pStyle w:val="ListParagraph"/>
              <w:widowControl w:val="false"/>
              <w:suppressAutoHyphens w:val="true"/>
              <w:spacing w:lineRule="auto" w:line="240" w:before="0" w:after="0"/>
              <w:ind w:left="72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Succession indignity by reference to the crime of determining or facilitating suicide.</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Intellectual property rights as an object of the right to inheritance.</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will of the amounts and values deposited in the context of current banking legislation.</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mystical will, an obsolete legal institution or a necessary legal instrument?</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inheritance rights of the child conceived but not born in the general context of the right to life.</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legal nature of UAT and state rights over vacant inheritance.</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 xml:space="preserve"> </w:t>
            </w:r>
            <w:r>
              <w:rPr>
                <w:rFonts w:eastAsia="Times New Roman" w:cs="Arial" w:ascii="Arial" w:hAnsi="Arial"/>
                <w:kern w:val="0"/>
                <w:sz w:val="26"/>
                <w:szCs w:val="26"/>
                <w:lang w:val="en-US" w:eastAsia="ro-RO" w:bidi="ar-SA"/>
              </w:rPr>
              <w:t>Heritage assets as an object of the right to inheritance.</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 xml:space="preserve"> </w:t>
            </w:r>
            <w:r>
              <w:rPr>
                <w:rFonts w:eastAsia="Times New Roman" w:cs="Arial" w:ascii="Arial" w:hAnsi="Arial"/>
                <w:kern w:val="0"/>
                <w:sz w:val="26"/>
                <w:szCs w:val="26"/>
                <w:lang w:val="en-US" w:eastAsia="ro-RO" w:bidi="ar-SA"/>
              </w:rPr>
              <w:t>Succession indignity in the general context of civil sanctions.</w:t>
            </w:r>
          </w:p>
          <w:p>
            <w:pPr>
              <w:pStyle w:val="ListParagraph"/>
              <w:widowControl w:val="false"/>
              <w:numPr>
                <w:ilvl w:val="0"/>
                <w:numId w:val="5"/>
              </w:numPr>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legal nature and specific effects of the institution of the reduction of excessive concessions.</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Current issues regarding the limits of the right of disposal over inheritance</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Synchronic and diachronic analysis of the institution and the notion of entailment.</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survivor's right to housing, as a successor or as a means of social protection?</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Invocation and exercise of the right o</w:t>
            </w:r>
            <w:r>
              <w:rPr>
                <w:rFonts w:eastAsia="Times New Roman" w:cs="Arial" w:ascii="Arial" w:hAnsi="Arial"/>
                <w:kern w:val="0"/>
                <w:sz w:val="26"/>
                <w:szCs w:val="26"/>
                <w:shd w:fill="auto" w:val="clear"/>
                <w:lang w:val="en-US" w:eastAsia="ro-RO" w:bidi="ar-SA"/>
              </w:rPr>
              <w:t xml:space="preserve">f </w:t>
            </w:r>
            <w:r>
              <w:rPr>
                <w:rFonts w:eastAsia="Times New Roman" w:cs="Arial" w:ascii="Arial" w:hAnsi="Arial"/>
                <w:kern w:val="0"/>
                <w:sz w:val="26"/>
                <w:szCs w:val="26"/>
                <w:shd w:fill="auto" w:val="clear"/>
                <w:lang w:val="en-US" w:eastAsia="ro-RO" w:bidi="ar-SA"/>
              </w:rPr>
              <w:t xml:space="preserve">sezine (mandatory heir) </w:t>
            </w:r>
            <w:r>
              <w:rPr>
                <w:rFonts w:eastAsia="Times New Roman" w:cs="Arial" w:ascii="Arial" w:hAnsi="Arial"/>
                <w:kern w:val="0"/>
                <w:sz w:val="26"/>
                <w:szCs w:val="26"/>
                <w:shd w:fill="auto" w:val="clear"/>
                <w:lang w:val="en-US" w:eastAsia="ro-RO" w:bidi="ar-SA"/>
              </w:rPr>
              <w:t xml:space="preserve"> </w:t>
            </w:r>
            <w:r>
              <w:rPr>
                <w:rFonts w:eastAsia="Times New Roman" w:cs="Arial" w:ascii="Arial" w:hAnsi="Arial"/>
                <w:kern w:val="0"/>
                <w:sz w:val="26"/>
                <w:szCs w:val="26"/>
                <w:lang w:val="en-US" w:eastAsia="ro-RO" w:bidi="ar-SA"/>
              </w:rPr>
              <w:t xml:space="preserve">by the </w:t>
            </w:r>
            <w:r>
              <w:rPr>
                <w:rFonts w:eastAsia="Times New Roman" w:cs="Arial" w:ascii="Arial" w:hAnsi="Arial"/>
                <w:kern w:val="0"/>
                <w:sz w:val="26"/>
                <w:szCs w:val="26"/>
                <w:lang w:val="en-US" w:eastAsia="ro-RO" w:bidi="ar-SA"/>
              </w:rPr>
              <w:t>sezine (mandatory) heirs</w:t>
            </w:r>
            <w:r>
              <w:rPr>
                <w:rFonts w:eastAsia="Times New Roman" w:cs="Arial" w:ascii="Arial" w:hAnsi="Arial"/>
                <w:kern w:val="0"/>
                <w:sz w:val="26"/>
                <w:szCs w:val="26"/>
                <w:lang w:val="en-US" w:eastAsia="ro-RO" w:bidi="ar-SA"/>
              </w:rPr>
              <w:t>.</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cs="Arial" w:ascii="Arial" w:hAnsi="Arial"/>
                <w:kern w:val="0"/>
                <w:sz w:val="26"/>
                <w:szCs w:val="26"/>
                <w:lang w:val="en-US" w:eastAsia="en-US" w:bidi="ar-SA"/>
              </w:rPr>
              <w:t xml:space="preserve"> </w:t>
            </w:r>
            <w:r>
              <w:rPr>
                <w:rFonts w:cs="Arial" w:ascii="Arial" w:hAnsi="Arial"/>
                <w:kern w:val="0"/>
                <w:sz w:val="26"/>
                <w:szCs w:val="26"/>
                <w:lang w:val="en-US" w:eastAsia="en-US" w:bidi="ar-SA"/>
              </w:rPr>
              <w:t>Heredity petition. Action and legal institution with its own identity.</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cs="Arial" w:ascii="Arial" w:hAnsi="Arial"/>
                <w:kern w:val="0"/>
                <w:sz w:val="26"/>
                <w:szCs w:val="26"/>
                <w:lang w:val="en-US" w:eastAsia="en-US" w:bidi="ar-SA"/>
              </w:rPr>
              <w:t xml:space="preserve"> </w:t>
            </w:r>
            <w:r>
              <w:rPr>
                <w:rFonts w:eastAsia="Times New Roman" w:cs="Arial" w:ascii="Arial" w:hAnsi="Arial"/>
                <w:kern w:val="0"/>
                <w:sz w:val="26"/>
                <w:szCs w:val="26"/>
                <w:lang w:val="en-US" w:eastAsia="ro-RO" w:bidi="ar-SA"/>
              </w:rPr>
              <w:t>The means of realization and the effects of the parental partition inter vivos.</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eastAsia="Times New Roman" w:cs="Arial" w:ascii="Arial" w:hAnsi="Arial"/>
                <w:kern w:val="0"/>
                <w:sz w:val="26"/>
                <w:szCs w:val="26"/>
                <w:lang w:val="en-US" w:eastAsia="ro-RO" w:bidi="ar-SA"/>
              </w:rPr>
              <w:t>Transmission of medical praxis in case of death</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eastAsia="Times New Roman" w:cs="Arial" w:ascii="Arial" w:hAnsi="Arial"/>
                <w:kern w:val="0"/>
                <w:sz w:val="26"/>
                <w:szCs w:val="26"/>
                <w:lang w:val="en-US" w:eastAsia="ro-RO" w:bidi="ar-SA"/>
              </w:rPr>
              <w:t>The impact of the bankruptcy of the natural person on the succession patrimony and on the heirs</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eastAsia="Times New Roman" w:cs="Arial" w:ascii="Arial" w:hAnsi="Arial"/>
                <w:kern w:val="0"/>
                <w:sz w:val="26"/>
                <w:szCs w:val="26"/>
                <w:lang w:val="en-US" w:eastAsia="ro-RO" w:bidi="ar-SA"/>
              </w:rPr>
              <w:t>Limitations on the right to dispose of the estate</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highlight w:val="none"/>
                <w:shd w:fill="auto" w:val="clear"/>
                <w:lang w:val="en-US" w:eastAsia="ro-RO" w:bidi="ar-SA"/>
              </w:rPr>
            </w:pPr>
            <w:r>
              <w:rPr>
                <w:rFonts w:eastAsia="Times New Roman" w:cs="Arial" w:ascii="Arial" w:hAnsi="Arial"/>
                <w:kern w:val="0"/>
                <w:sz w:val="26"/>
                <w:szCs w:val="26"/>
                <w:shd w:fill="auto" w:val="clear"/>
                <w:lang w:val="en-US" w:eastAsia="ro-RO" w:bidi="ar-SA"/>
              </w:rPr>
              <w:t>Non-</w:t>
            </w:r>
            <w:r>
              <w:rPr>
                <w:rFonts w:eastAsia="Times New Roman" w:cs="Arial" w:ascii="Arial" w:hAnsi="Arial"/>
                <w:kern w:val="0"/>
                <w:sz w:val="26"/>
                <w:szCs w:val="26"/>
                <w:shd w:fill="auto" w:val="clear"/>
                <w:lang w:val="en-US" w:eastAsia="ro-RO" w:bidi="ar-SA"/>
              </w:rPr>
              <w:t>sezine (mandatory)</w:t>
            </w:r>
            <w:r>
              <w:rPr>
                <w:rFonts w:eastAsia="Times New Roman" w:cs="Arial" w:ascii="Arial" w:hAnsi="Arial"/>
                <w:kern w:val="0"/>
                <w:sz w:val="26"/>
                <w:szCs w:val="26"/>
                <w:shd w:fill="auto" w:val="clear"/>
                <w:lang w:val="en-US" w:eastAsia="ro-RO" w:bidi="ar-SA"/>
              </w:rPr>
              <w:t xml:space="preserve"> heirs and sending in</w:t>
            </w:r>
            <w:r>
              <w:rPr>
                <w:rFonts w:eastAsia="Times New Roman" w:cs="Arial" w:ascii="Arial" w:hAnsi="Arial"/>
                <w:kern w:val="0"/>
                <w:sz w:val="26"/>
                <w:szCs w:val="26"/>
                <w:shd w:fill="auto" w:val="clear"/>
                <w:lang w:val="en-US" w:eastAsia="ro-RO" w:bidi="ar-SA"/>
              </w:rPr>
              <w:t>to</w:t>
            </w:r>
            <w:r>
              <w:rPr>
                <w:rFonts w:eastAsia="Times New Roman" w:cs="Arial" w:ascii="Arial" w:hAnsi="Arial"/>
                <w:kern w:val="0"/>
                <w:sz w:val="26"/>
                <w:szCs w:val="26"/>
                <w:shd w:fill="auto" w:val="clear"/>
                <w:lang w:val="en-US" w:eastAsia="ro-RO" w:bidi="ar-SA"/>
              </w:rPr>
              <w:t xml:space="preserve"> possession</w:t>
            </w:r>
          </w:p>
          <w:p>
            <w:pPr>
              <w:pStyle w:val="ListParagraph"/>
              <w:widowControl w:val="false"/>
              <w:numPr>
                <w:ilvl w:val="0"/>
                <w:numId w:val="5"/>
              </w:numPr>
              <w:suppressAutoHyphens w:val="true"/>
              <w:spacing w:lineRule="auto" w:line="240" w:before="0" w:after="0"/>
              <w:ind w:left="700" w:right="315" w:hanging="360"/>
              <w:contextualSpacing/>
              <w:jc w:val="both"/>
              <w:rPr>
                <w:rFonts w:ascii="Arial" w:hAnsi="Arial" w:cs="Arial"/>
                <w:kern w:val="0"/>
                <w:sz w:val="26"/>
                <w:szCs w:val="26"/>
                <w:lang w:val="en-US" w:eastAsia="en-US" w:bidi="ar-SA"/>
              </w:rPr>
            </w:pPr>
            <w:r>
              <w:rPr>
                <w:rFonts w:cs="Arial" w:ascii="Arial" w:hAnsi="Arial"/>
                <w:kern w:val="0"/>
                <w:sz w:val="26"/>
                <w:szCs w:val="26"/>
                <w:lang w:val="en-US" w:eastAsia="en-US" w:bidi="ar-SA"/>
              </w:rPr>
              <w:t>The succession – a legal entity</w:t>
            </w:r>
          </w:p>
          <w:p>
            <w:pPr>
              <w:pStyle w:val="ListParagraph"/>
              <w:widowControl w:val="false"/>
              <w:suppressAutoHyphens w:val="true"/>
              <w:spacing w:lineRule="auto" w:line="240" w:before="0" w:after="0"/>
              <w:ind w:left="70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center"/>
              <w:rPr>
                <w:rFonts w:ascii="Arial" w:hAnsi="Arial" w:eastAsia="Times New Roman" w:cs="Arial"/>
                <w:b/>
                <w:b/>
                <w:bCs/>
                <w:kern w:val="0"/>
                <w:sz w:val="26"/>
                <w:szCs w:val="26"/>
                <w:lang w:val="en-US" w:eastAsia="ro-RO" w:bidi="ar-SA"/>
              </w:rPr>
            </w:pPr>
            <w:r>
              <w:rPr>
                <w:rFonts w:eastAsia="Times New Roman" w:cs="Arial" w:ascii="Arial" w:hAnsi="Arial"/>
                <w:b/>
                <w:bCs/>
                <w:kern w:val="0"/>
                <w:sz w:val="26"/>
                <w:szCs w:val="26"/>
                <w:lang w:val="en-US" w:eastAsia="ro-RO" w:bidi="ar-SA"/>
              </w:rPr>
              <w:t>CIVIL PROCEDURAL LAW</w:t>
            </w:r>
          </w:p>
        </w:tc>
      </w:tr>
      <w:tr>
        <w:trPr/>
        <w:tc>
          <w:tcPr>
            <w:tcW w:w="9062" w:type="dxa"/>
            <w:tcBorders/>
          </w:tcPr>
          <w:p>
            <w:pPr>
              <w:pStyle w:val="ListParagraph"/>
              <w:widowControl w:val="false"/>
              <w:shd w:val="clear" w:color="auto" w:fill="FFFFFF"/>
              <w:suppressAutoHyphens w:val="true"/>
              <w:spacing w:lineRule="auto" w:line="240" w:before="0" w:after="0"/>
              <w:ind w:left="72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Brief presentation on lawsuits in matters of succession</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Special inheritance division procedure.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Enforcement of an inheritance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Lawsuits regarding the reunification of the succession estate.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Rules of procedure regarding the voluntary or judicial succession debate.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Testamentary partition. Theoretical and practical aspects</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role and importance of the special curator in the matter of succession debate.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National regulations regarding the summoning of the parties in the succession procedure.</w:t>
            </w:r>
          </w:p>
          <w:p>
            <w:pPr>
              <w:pStyle w:val="ListParagraph"/>
              <w:widowControl w:val="false"/>
              <w:numPr>
                <w:ilvl w:val="0"/>
                <w:numId w:val="6"/>
              </w:numPr>
              <w:shd w:val="clear" w:color="auto" w:fill="FFFFFF"/>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Peculiarities of the conclusion of admission in principle in the procedure of judicial division.</w:t>
            </w:r>
          </w:p>
          <w:p>
            <w:pPr>
              <w:pStyle w:val="ListParagraph"/>
              <w:widowControl w:val="false"/>
              <w:numPr>
                <w:ilvl w:val="0"/>
                <w:numId w:val="6"/>
              </w:numPr>
              <w:shd w:val="clear" w:color="auto" w:fill="FFFFFF"/>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active role of the judge in the judicial division procedure.</w:t>
            </w:r>
          </w:p>
          <w:p>
            <w:pPr>
              <w:pStyle w:val="ListParagraph"/>
              <w:widowControl w:val="false"/>
              <w:numPr>
                <w:ilvl w:val="0"/>
                <w:numId w:val="6"/>
              </w:numPr>
              <w:shd w:val="clear" w:color="auto" w:fill="FFFFFF"/>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Acts of disposition of the parties in the judicial division procedure.</w:t>
            </w:r>
          </w:p>
          <w:p>
            <w:pPr>
              <w:pStyle w:val="ListParagraph"/>
              <w:widowControl w:val="false"/>
              <w:numPr>
                <w:ilvl w:val="0"/>
                <w:numId w:val="6"/>
              </w:numPr>
              <w:shd w:val="clear" w:color="auto" w:fill="FFFFFF"/>
              <w:suppressAutoHyphens w:val="true"/>
              <w:spacing w:lineRule="auto" w:line="240" w:before="0" w:after="0"/>
              <w:ind w:left="70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Peculiarities of the court decision pronounced in the special procedure of division of assets.</w:t>
            </w:r>
          </w:p>
          <w:p>
            <w:pPr>
              <w:pStyle w:val="Normal"/>
              <w:widowControl w:val="false"/>
              <w:suppressAutoHyphens w:val="true"/>
              <w:spacing w:lineRule="auto" w:line="240" w:before="0" w:after="0"/>
              <w:ind w:right="315" w:hanging="0"/>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ind w:right="315" w:hanging="0"/>
              <w:jc w:val="both"/>
              <w:rPr>
                <w:rFonts w:ascii="Arial" w:hAnsi="Arial" w:eastAsia="Times New Roman" w:cs="Arial"/>
                <w:b/>
                <w:b/>
                <w:bCs/>
                <w:kern w:val="0"/>
                <w:sz w:val="26"/>
                <w:szCs w:val="26"/>
                <w:lang w:val="en-US" w:eastAsia="ro-RO" w:bidi="ar-SA"/>
              </w:rPr>
            </w:pPr>
            <w:r>
              <w:rPr>
                <w:rFonts w:eastAsia="Times New Roman" w:cs="Arial" w:ascii="Arial" w:hAnsi="Arial"/>
                <w:b/>
                <w:bCs/>
                <w:kern w:val="0"/>
                <w:sz w:val="26"/>
                <w:szCs w:val="26"/>
                <w:lang w:val="en-US" w:eastAsia="ro-RO" w:bidi="ar-SA"/>
              </w:rPr>
              <w:t xml:space="preserve">                                          </w:t>
            </w:r>
            <w:r>
              <w:rPr>
                <w:rFonts w:eastAsia="Times New Roman" w:cs="Arial" w:ascii="Arial" w:hAnsi="Arial"/>
                <w:b/>
                <w:bCs/>
                <w:kern w:val="0"/>
                <w:sz w:val="26"/>
                <w:szCs w:val="26"/>
                <w:lang w:val="en-US" w:eastAsia="ro-RO" w:bidi="ar-SA"/>
              </w:rPr>
              <w:t>CONSTITUTIONAL LAW</w:t>
            </w:r>
          </w:p>
        </w:tc>
      </w:tr>
      <w:tr>
        <w:trPr/>
        <w:tc>
          <w:tcPr>
            <w:tcW w:w="9062" w:type="dxa"/>
            <w:tcBorders/>
          </w:tcPr>
          <w:p>
            <w:pPr>
              <w:pStyle w:val="ListParagraph"/>
              <w:widowControl w:val="false"/>
              <w:suppressAutoHyphens w:val="true"/>
              <w:spacing w:before="0" w:after="20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7"/>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right to inheritance, constitutional consecration and characterization.</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right to inherit, corollary of the property right.</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institution of inheritance in the conditions of the evolutionary approach of the concept of “family life”</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Examination of the reparative legislation adopted in Romania after 1991 in relation to the right to inheritance.</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Gender equality and the institution of succession.</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Application of the principle of equal rights in matters of the right to inheritance.</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Guaranteeing the right to inheritance under the conditions of the law, meanings and analysis.</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Consecration of the right to inheritance in EU states. A comparative constitutional law approach.</w:t>
            </w:r>
          </w:p>
          <w:p>
            <w:pPr>
              <w:pStyle w:val="ListParagraph"/>
              <w:widowControl w:val="false"/>
              <w:numPr>
                <w:ilvl w:val="0"/>
                <w:numId w:val="7"/>
              </w:numPr>
              <w:suppressAutoHyphens w:val="true"/>
              <w:spacing w:lineRule="auto" w:line="259" w:before="0" w:after="16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legal nature and inheritance of "virtual" assets.</w:t>
            </w:r>
          </w:p>
          <w:p>
            <w:pPr>
              <w:pStyle w:val="ListParagraph"/>
              <w:widowControl w:val="false"/>
              <w:numPr>
                <w:ilvl w:val="0"/>
                <w:numId w:val="7"/>
              </w:numPr>
              <w:suppressAutoHyphens w:val="true"/>
              <w:spacing w:lineRule="auto" w:line="259" w:before="0" w:after="16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right to inherit and social solidarity.</w:t>
            </w:r>
          </w:p>
          <w:p>
            <w:pPr>
              <w:pStyle w:val="Normal"/>
              <w:widowControl w:val="false"/>
              <w:tabs>
                <w:tab w:val="clear" w:pos="708"/>
                <w:tab w:val="left" w:pos="2052" w:leader="none"/>
              </w:tabs>
              <w:suppressAutoHyphens w:val="true"/>
              <w:spacing w:lineRule="auto" w:line="240" w:before="0" w:after="0"/>
              <w:ind w:left="907" w:right="315" w:hanging="0"/>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ind w:left="283" w:right="315" w:hanging="0"/>
              <w:jc w:val="both"/>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 xml:space="preserve">                                    </w:t>
            </w:r>
            <w:r>
              <w:rPr>
                <w:rFonts w:eastAsia="Calibri" w:cs="Arial" w:ascii="Arial" w:hAnsi="Arial"/>
                <w:b/>
                <w:bCs/>
                <w:kern w:val="0"/>
                <w:sz w:val="26"/>
                <w:szCs w:val="26"/>
                <w:lang w:val="en-US" w:eastAsia="en-US" w:bidi="ar-SA"/>
              </w:rPr>
              <w:t>ADMINISTRATIVE LAW</w:t>
            </w:r>
          </w:p>
        </w:tc>
      </w:tr>
      <w:tr>
        <w:trPr/>
        <w:tc>
          <w:tcPr>
            <w:tcW w:w="9062" w:type="dxa"/>
            <w:tcBorders/>
          </w:tcPr>
          <w:p>
            <w:pPr>
              <w:pStyle w:val="ListParagraph"/>
              <w:widowControl w:val="false"/>
              <w:tabs>
                <w:tab w:val="clear" w:pos="708"/>
                <w:tab w:val="left" w:pos="2052" w:leader="none"/>
              </w:tabs>
              <w:suppressAutoHyphens w:val="true"/>
              <w:spacing w:lineRule="auto" w:line="240" w:before="0" w:after="0"/>
              <w:ind w:left="720" w:right="315"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8"/>
              </w:numPr>
              <w:tabs>
                <w:tab w:val="clear" w:pos="708"/>
                <w:tab w:val="left" w:pos="2052"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Action for annulment of the succession holiday certificate (legal nature of the action, limitation period for bringing an action, petition for inheritance, subjects, competent court, appeals, legal nature of the holiday certificate, issuer, etc.) – study of doctrine and and / or case law</w:t>
            </w:r>
          </w:p>
          <w:p>
            <w:pPr>
              <w:pStyle w:val="ListParagraph"/>
              <w:widowControl w:val="false"/>
              <w:numPr>
                <w:ilvl w:val="0"/>
                <w:numId w:val="8"/>
              </w:numPr>
              <w:tabs>
                <w:tab w:val="clear" w:pos="708"/>
                <w:tab w:val="left" w:pos="2052"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Collecting vacant inheritance with foreign elements</w:t>
            </w:r>
          </w:p>
          <w:p>
            <w:pPr>
              <w:pStyle w:val="ListParagraph"/>
              <w:widowControl w:val="false"/>
              <w:numPr>
                <w:ilvl w:val="0"/>
                <w:numId w:val="8"/>
              </w:numPr>
              <w:tabs>
                <w:tab w:val="clear" w:pos="708"/>
                <w:tab w:val="left" w:pos="2052"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Passive procedural capacity in actions for a declaration of the status of sole heir of the UAT– case law study. (practical judicial analysis, decision no. 2 of 2011 of the HCCJ)</w:t>
            </w:r>
          </w:p>
          <w:p>
            <w:pPr>
              <w:pStyle w:val="ListParagraph"/>
              <w:widowControl w:val="false"/>
              <w:numPr>
                <w:ilvl w:val="0"/>
                <w:numId w:val="8"/>
              </w:numPr>
              <w:suppressAutoHyphens w:val="true"/>
              <w:spacing w:lineRule="auto" w:line="259" w:before="0" w:after="16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Limits of UAT liability and of the Romanian state for the liability of the vacant inheritance</w:t>
            </w:r>
          </w:p>
          <w:p>
            <w:pPr>
              <w:pStyle w:val="ListParagraph"/>
              <w:widowControl w:val="false"/>
              <w:numPr>
                <w:ilvl w:val="0"/>
                <w:numId w:val="8"/>
              </w:numPr>
              <w:tabs>
                <w:tab w:val="clear" w:pos="708"/>
                <w:tab w:val="left" w:pos="2052"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appeal against the expropriation decision issued under Law no. 33/10994 and Law no. 255/2010</w:t>
            </w:r>
          </w:p>
          <w:p>
            <w:pPr>
              <w:pStyle w:val="ListParagraph"/>
              <w:widowControl w:val="false"/>
              <w:numPr>
                <w:ilvl w:val="0"/>
                <w:numId w:val="8"/>
              </w:numPr>
              <w:suppressAutoHyphens w:val="true"/>
              <w:spacing w:lineRule="auto" w:line="259" w:before="0" w:after="16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The procedure of the vacant succession from the perspective of the incidence of the elements of administrative law</w:t>
            </w:r>
          </w:p>
        </w:tc>
      </w:tr>
      <w:tr>
        <w:trPr/>
        <w:tc>
          <w:tcPr>
            <w:tcW w:w="9062" w:type="dxa"/>
            <w:tcBorders/>
            <w:shd w:color="auto" w:fill="66FF33" w:val="clear"/>
          </w:tcPr>
          <w:p>
            <w:pPr>
              <w:pStyle w:val="Normal"/>
              <w:widowControl w:val="false"/>
              <w:suppressAutoHyphens w:val="true"/>
              <w:spacing w:lineRule="auto" w:line="240" w:before="0" w:after="0"/>
              <w:ind w:left="283" w:right="315" w:hanging="0"/>
              <w:jc w:val="both"/>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 xml:space="preserve">                                         </w:t>
            </w:r>
            <w:r>
              <w:rPr>
                <w:rFonts w:eastAsia="Calibri" w:cs="Arial" w:ascii="Arial" w:hAnsi="Arial"/>
                <w:b/>
                <w:bCs/>
                <w:kern w:val="0"/>
                <w:sz w:val="26"/>
                <w:szCs w:val="26"/>
                <w:lang w:val="en-US" w:eastAsia="en-US" w:bidi="ar-SA"/>
              </w:rPr>
              <w:t>FAMILY LAW</w:t>
            </w:r>
          </w:p>
        </w:tc>
      </w:tr>
      <w:tr>
        <w:trPr/>
        <w:tc>
          <w:tcPr>
            <w:tcW w:w="9062" w:type="dxa"/>
            <w:tcBorders/>
          </w:tcPr>
          <w:p>
            <w:pPr>
              <w:pStyle w:val="Normal"/>
              <w:widowControl w:val="false"/>
              <w:suppressAutoHyphens w:val="true"/>
              <w:spacing w:lineRule="auto" w:line="240" w:beforeAutospacing="1" w:afterAutospacing="1"/>
              <w:ind w:right="315" w:hanging="0"/>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p>
            <w:pPr>
              <w:pStyle w:val="Normal"/>
              <w:widowControl w:val="false"/>
              <w:numPr>
                <w:ilvl w:val="0"/>
                <w:numId w:val="9"/>
              </w:numPr>
              <w:suppressAutoHyphens w:val="true"/>
              <w:spacing w:lineRule="auto" w:line="240" w:beforeAutospacing="1" w:after="0"/>
              <w:ind w:left="720" w:right="315" w:hanging="360"/>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right to inherit the child conceived through medically assisted reproduction techniques</w:t>
            </w:r>
          </w:p>
          <w:p>
            <w:pPr>
              <w:pStyle w:val="Normal"/>
              <w:widowControl w:val="false"/>
              <w:numPr>
                <w:ilvl w:val="0"/>
                <w:numId w:val="9"/>
              </w:numPr>
              <w:suppressAutoHyphens w:val="true"/>
              <w:spacing w:lineRule="auto" w:line="240" w:before="0" w:after="0"/>
              <w:ind w:left="720" w:right="315" w:hanging="360"/>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effects of the recognition of the child's filiation by will</w:t>
            </w:r>
          </w:p>
          <w:p>
            <w:pPr>
              <w:pStyle w:val="Normal"/>
              <w:widowControl w:val="false"/>
              <w:numPr>
                <w:ilvl w:val="0"/>
                <w:numId w:val="9"/>
              </w:numPr>
              <w:suppressAutoHyphens w:val="true"/>
              <w:spacing w:lineRule="auto" w:line="240" w:before="0" w:after="0"/>
              <w:ind w:left="720" w:right="315" w:hanging="360"/>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Adoption and the child's right to inheritance</w:t>
            </w:r>
          </w:p>
          <w:p>
            <w:pPr>
              <w:pStyle w:val="Normal"/>
              <w:widowControl w:val="false"/>
              <w:numPr>
                <w:ilvl w:val="0"/>
                <w:numId w:val="9"/>
              </w:numPr>
              <w:suppressAutoHyphens w:val="true"/>
              <w:spacing w:lineRule="auto" w:line="240" w:before="0" w:after="0"/>
              <w:ind w:left="720" w:right="315" w:hanging="360"/>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The right of residence of the surviving spouse</w:t>
            </w:r>
          </w:p>
          <w:p>
            <w:pPr>
              <w:pStyle w:val="Normal"/>
              <w:widowControl w:val="false"/>
              <w:numPr>
                <w:ilvl w:val="0"/>
                <w:numId w:val="9"/>
              </w:numPr>
              <w:suppressAutoHyphens w:val="true"/>
              <w:spacing w:lineRule="auto" w:line="240" w:before="0" w:afterAutospacing="1"/>
              <w:ind w:left="720" w:right="315" w:hanging="360"/>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LGBTQ+ couples and inheritance rights</w:t>
            </w:r>
          </w:p>
        </w:tc>
      </w:tr>
      <w:tr>
        <w:trPr/>
        <w:tc>
          <w:tcPr>
            <w:tcW w:w="9062" w:type="dxa"/>
            <w:tcBorders/>
            <w:shd w:color="auto" w:fill="66FF33" w:val="clear"/>
          </w:tcPr>
          <w:p>
            <w:pPr>
              <w:pStyle w:val="Normal"/>
              <w:widowControl w:val="false"/>
              <w:suppressAutoHyphens w:val="true"/>
              <w:spacing w:lineRule="auto" w:line="240" w:beforeAutospacing="1" w:after="0"/>
              <w:ind w:left="283" w:right="315" w:hanging="0"/>
              <w:jc w:val="both"/>
              <w:rPr>
                <w:rFonts w:ascii="Arial" w:hAnsi="Arial" w:eastAsia="Times New Roman" w:cs="Arial"/>
                <w:b/>
                <w:b/>
                <w:bCs/>
                <w:kern w:val="0"/>
                <w:sz w:val="26"/>
                <w:szCs w:val="26"/>
                <w:lang w:val="en-US" w:eastAsia="en-US" w:bidi="ar-SA"/>
              </w:rPr>
            </w:pPr>
            <w:r>
              <w:rPr>
                <w:rFonts w:eastAsia="Times New Roman" w:cs="Arial" w:ascii="Arial" w:hAnsi="Arial"/>
                <w:b/>
                <w:bCs/>
                <w:kern w:val="0"/>
                <w:sz w:val="26"/>
                <w:szCs w:val="26"/>
                <w:lang w:val="en-US" w:eastAsia="en-US" w:bidi="ar-SA"/>
              </w:rPr>
              <w:t xml:space="preserve">                  </w:t>
            </w:r>
            <w:r>
              <w:rPr>
                <w:rFonts w:eastAsia="Times New Roman" w:cs="Arial" w:ascii="Arial" w:hAnsi="Arial"/>
                <w:b/>
                <w:bCs/>
                <w:kern w:val="0"/>
                <w:sz w:val="26"/>
                <w:szCs w:val="26"/>
                <w:lang w:val="en-US" w:eastAsia="en-US" w:bidi="ar-SA"/>
              </w:rPr>
              <w:t>ALTERNATIVE CONFLICT RESOLUTION</w:t>
            </w:r>
          </w:p>
        </w:tc>
      </w:tr>
      <w:tr>
        <w:trPr/>
        <w:tc>
          <w:tcPr>
            <w:tcW w:w="9062" w:type="dxa"/>
            <w:tcBorders/>
          </w:tcPr>
          <w:p>
            <w:pPr>
              <w:pStyle w:val="ListParagraph"/>
              <w:widowControl w:val="false"/>
              <w:suppressAutoHyphens w:val="true"/>
              <w:spacing w:lineRule="auto" w:line="240" w:beforeAutospacing="1" w:afterAutospacing="1"/>
              <w:ind w:left="757" w:right="315" w:hanging="0"/>
              <w:contextualSpacing/>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p>
            <w:pPr>
              <w:pStyle w:val="ListParagraph"/>
              <w:widowControl w:val="false"/>
              <w:numPr>
                <w:ilvl w:val="1"/>
                <w:numId w:val="11"/>
              </w:numPr>
              <w:suppressAutoHyphens w:val="true"/>
              <w:spacing w:lineRule="auto" w:line="240" w:beforeAutospacing="1" w:afterAutospacing="1"/>
              <w:ind w:left="757" w:right="315" w:hanging="360"/>
              <w:contextualSpacing/>
              <w:jc w:val="both"/>
              <w:rPr>
                <w:rFonts w:ascii="Arial" w:hAnsi="Arial" w:eastAsia="Times New Roman" w:cs="Arial"/>
                <w:color w:val="26282A"/>
                <w:kern w:val="0"/>
                <w:sz w:val="26"/>
                <w:szCs w:val="26"/>
                <w:lang w:val="en-US" w:eastAsia="en-US" w:bidi="ar-SA"/>
              </w:rPr>
            </w:pPr>
            <w:r>
              <w:rPr>
                <w:rFonts w:eastAsia="Times New Roman" w:cs="Arial" w:ascii="Arial" w:hAnsi="Arial"/>
                <w:color w:val="26282A"/>
                <w:kern w:val="0"/>
                <w:sz w:val="26"/>
                <w:szCs w:val="26"/>
                <w:lang w:val="en-US" w:eastAsia="en-US" w:bidi="ar-SA"/>
              </w:rPr>
              <w:t>Alternative settlement of succession disputes</w:t>
            </w:r>
          </w:p>
        </w:tc>
      </w:tr>
      <w:tr>
        <w:trPr/>
        <w:tc>
          <w:tcPr>
            <w:tcW w:w="9062" w:type="dxa"/>
            <w:tcBorders/>
            <w:shd w:color="auto" w:fill="66FF33" w:val="clear"/>
          </w:tcPr>
          <w:p>
            <w:pPr>
              <w:pStyle w:val="Normal"/>
              <w:widowControl w:val="false"/>
              <w:suppressAutoHyphens w:val="true"/>
              <w:spacing w:lineRule="auto" w:line="240" w:before="0" w:after="0"/>
              <w:ind w:left="283" w:right="315" w:hanging="0"/>
              <w:jc w:val="both"/>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 xml:space="preserve">                                            </w:t>
            </w:r>
            <w:r>
              <w:rPr>
                <w:rFonts w:eastAsia="Calibri" w:cs="Arial" w:ascii="Arial" w:hAnsi="Arial"/>
                <w:b/>
                <w:bCs/>
                <w:kern w:val="0"/>
                <w:sz w:val="26"/>
                <w:szCs w:val="26"/>
                <w:lang w:val="en-US" w:eastAsia="en-US" w:bidi="ar-SA"/>
              </w:rPr>
              <w:t xml:space="preserve">ROMAN </w:t>
            </w:r>
            <w:r>
              <w:rPr>
                <w:rFonts w:eastAsia="Calibri" w:cs="Arial" w:ascii="Arial" w:hAnsi="Arial"/>
                <w:b/>
                <w:bCs/>
                <w:kern w:val="0"/>
                <w:sz w:val="24"/>
                <w:szCs w:val="24"/>
                <w:lang w:val="en-US" w:eastAsia="en-US" w:bidi="ar-SA"/>
              </w:rPr>
              <w:t>LAW</w:t>
            </w:r>
          </w:p>
        </w:tc>
      </w:tr>
      <w:tr>
        <w:trPr/>
        <w:tc>
          <w:tcPr>
            <w:tcW w:w="9062" w:type="dxa"/>
            <w:tcBorders/>
          </w:tcPr>
          <w:p>
            <w:pPr>
              <w:pStyle w:val="ListParagraph"/>
              <w:widowControl w:val="false"/>
              <w:suppressAutoHyphens w:val="true"/>
              <w:spacing w:before="0" w:after="20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10"/>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Legal succession in Roman law – ascendant of the contemporary legal devolution of inheritance</w:t>
            </w:r>
          </w:p>
          <w:p>
            <w:pPr>
              <w:pStyle w:val="ListParagraph"/>
              <w:widowControl w:val="false"/>
              <w:numPr>
                <w:ilvl w:val="0"/>
                <w:numId w:val="10"/>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will in Roman law – expression of individual power or deviation from the principles of the ancient Romans?</w:t>
            </w:r>
          </w:p>
          <w:p>
            <w:pPr>
              <w:pStyle w:val="ListParagraph"/>
              <w:widowControl w:val="false"/>
              <w:numPr>
                <w:ilvl w:val="0"/>
                <w:numId w:val="10"/>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Inheritance against the will – promoter of family relations, occasion of division or expression of the creative genius of the praetors?</w:t>
            </w:r>
          </w:p>
          <w:p>
            <w:pPr>
              <w:pStyle w:val="ListParagraph"/>
              <w:widowControl w:val="false"/>
              <w:numPr>
                <w:ilvl w:val="0"/>
                <w:numId w:val="10"/>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sanction of inheritance – an indicator of the elasticity of the Roman law system</w:t>
            </w:r>
          </w:p>
          <w:p>
            <w:pPr>
              <w:pStyle w:val="ListParagraph"/>
              <w:widowControl w:val="false"/>
              <w:numPr>
                <w:ilvl w:val="0"/>
                <w:numId w:val="10"/>
              </w:numPr>
              <w:suppressAutoHyphens w:val="true"/>
              <w:spacing w:before="0" w:after="20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evolution of the succession system in Roman law.</w:t>
            </w:r>
          </w:p>
        </w:tc>
      </w:tr>
      <w:tr>
        <w:trPr/>
        <w:tc>
          <w:tcPr>
            <w:tcW w:w="9062" w:type="dxa"/>
            <w:tcBorders/>
            <w:shd w:color="auto" w:fill="66FF33" w:val="clear"/>
          </w:tcPr>
          <w:p>
            <w:pPr>
              <w:pStyle w:val="ListParagraph"/>
              <w:widowControl w:val="false"/>
              <w:suppressAutoHyphens w:val="true"/>
              <w:spacing w:before="0" w:after="200"/>
              <w:ind w:left="283" w:right="315" w:hanging="0"/>
              <w:contextualSpacing/>
              <w:jc w:val="center"/>
              <w:rPr>
                <w:rFonts w:ascii="Arial" w:hAnsi="Arial" w:eastAsia="Calibri" w:cs="Arial"/>
                <w:b/>
                <w:b/>
                <w:bCs/>
                <w:kern w:val="0"/>
                <w:sz w:val="24"/>
                <w:szCs w:val="24"/>
                <w:lang w:val="en-US" w:eastAsia="en-US" w:bidi="ar-SA"/>
              </w:rPr>
            </w:pPr>
            <w:r>
              <w:rPr>
                <w:rFonts w:eastAsia="Calibri" w:cs="Arial" w:ascii="Arial" w:hAnsi="Arial"/>
                <w:b/>
                <w:bCs/>
                <w:kern w:val="0"/>
                <w:sz w:val="24"/>
                <w:szCs w:val="24"/>
                <w:lang w:val="en-US" w:eastAsia="en-US" w:bidi="ar-SA"/>
              </w:rPr>
              <w:t>HISTORY OF THE ROMANIAN STATE AND LAW</w:t>
            </w:r>
          </w:p>
        </w:tc>
      </w:tr>
      <w:tr>
        <w:trPr/>
        <w:tc>
          <w:tcPr>
            <w:tcW w:w="9062" w:type="dxa"/>
            <w:tcBorders/>
          </w:tcPr>
          <w:p>
            <w:pPr>
              <w:pStyle w:val="ListParagraph"/>
              <w:widowControl w:val="false"/>
              <w:suppressAutoHyphens w:val="true"/>
              <w:spacing w:lineRule="auto" w:line="240" w:before="0" w:after="0"/>
              <w:ind w:left="70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12"/>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Succession to the throne in the Romanian Middle Ages;</w:t>
            </w:r>
          </w:p>
          <w:p>
            <w:pPr>
              <w:pStyle w:val="ListParagraph"/>
              <w:widowControl w:val="false"/>
              <w:numPr>
                <w:ilvl w:val="0"/>
                <w:numId w:val="12"/>
              </w:numPr>
              <w:suppressAutoHyphens w:val="true"/>
              <w:spacing w:before="0" w:after="20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inheritance in the Romanian medieval law. Evolution, rules of law, case study;</w:t>
            </w:r>
          </w:p>
          <w:p>
            <w:pPr>
              <w:pStyle w:val="ListParagraph"/>
              <w:widowControl w:val="false"/>
              <w:numPr>
                <w:ilvl w:val="0"/>
                <w:numId w:val="12"/>
              </w:numPr>
              <w:suppressAutoHyphens w:val="true"/>
              <w:spacing w:before="0" w:after="20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Slavery and medieval succession law;</w:t>
            </w:r>
          </w:p>
          <w:p>
            <w:pPr>
              <w:pStyle w:val="ListParagraph"/>
              <w:widowControl w:val="false"/>
              <w:numPr>
                <w:ilvl w:val="0"/>
                <w:numId w:val="12"/>
              </w:numPr>
              <w:suppressAutoHyphens w:val="true"/>
              <w:spacing w:before="0" w:after="20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royal charter, a significant legal element in inheritance law;</w:t>
            </w:r>
          </w:p>
          <w:p>
            <w:pPr>
              <w:pStyle w:val="ListParagraph"/>
              <w:widowControl w:val="false"/>
              <w:numPr>
                <w:ilvl w:val="0"/>
                <w:numId w:val="12"/>
              </w:numPr>
              <w:suppressAutoHyphens w:val="true"/>
              <w:spacing w:before="0" w:after="20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Elements of inheritance law in international relations. Case study: the Gojdu inheritance;</w:t>
            </w:r>
          </w:p>
          <w:p>
            <w:pPr>
              <w:pStyle w:val="ListParagraph"/>
              <w:widowControl w:val="false"/>
              <w:numPr>
                <w:ilvl w:val="0"/>
                <w:numId w:val="12"/>
              </w:numPr>
              <w:suppressAutoHyphens w:val="true"/>
              <w:spacing w:before="0" w:after="20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institution of identification papers and its role in inheritance.</w:t>
            </w:r>
          </w:p>
        </w:tc>
      </w:tr>
      <w:tr>
        <w:trPr/>
        <w:tc>
          <w:tcPr>
            <w:tcW w:w="9062" w:type="dxa"/>
            <w:tcBorders/>
            <w:shd w:color="auto" w:fill="66FF33" w:val="clear"/>
          </w:tcPr>
          <w:p>
            <w:pPr>
              <w:pStyle w:val="ListParagraph"/>
              <w:widowControl w:val="false"/>
              <w:suppressAutoHyphens w:val="true"/>
              <w:spacing w:before="0" w:after="200"/>
              <w:ind w:left="720" w:right="315" w:hanging="0"/>
              <w:contextualSpacing/>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FINANCIAL AND FISCAL LAW</w:t>
            </w:r>
          </w:p>
        </w:tc>
      </w:tr>
      <w:tr>
        <w:trPr/>
        <w:tc>
          <w:tcPr>
            <w:tcW w:w="9062" w:type="dxa"/>
            <w:tcBorders/>
          </w:tcPr>
          <w:p>
            <w:pPr>
              <w:pStyle w:val="Ydp95b44438yiv9439068767ydp8faa8f6dmsolistparagraph"/>
              <w:widowControl w:val="false"/>
              <w:suppressAutoHyphens w:val="true"/>
              <w:spacing w:beforeAutospacing="0" w:before="0" w:afterAutospacing="0" w:after="0"/>
              <w:ind w:left="737" w:right="315" w:hanging="0"/>
              <w:jc w:val="both"/>
              <w:rPr>
                <w:rFonts w:ascii="Arial" w:hAnsi="Arial" w:cs="Arial"/>
                <w:color w:val="26282A"/>
                <w:kern w:val="0"/>
                <w:sz w:val="22"/>
                <w:szCs w:val="22"/>
                <w:lang w:val="en-US" w:bidi="ar-SA"/>
              </w:rPr>
            </w:pPr>
            <w:r>
              <w:rPr>
                <w:rFonts w:cs="Arial" w:ascii="Arial" w:hAnsi="Arial"/>
                <w:color w:val="26282A"/>
                <w:kern w:val="0"/>
                <w:sz w:val="22"/>
                <w:szCs w:val="22"/>
                <w:lang w:val="en-US" w:bidi="ar-SA"/>
              </w:rPr>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Fiscal, theoretical and practical aspects, related to the succession transmission in the Romanian legislation</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Fiscal law issues regarding international successions</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Avoidance of double taxation in case of succession</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Peculiarities of imposing cross-border successions</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The legal regime of inheritance taxation</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Legal instruments and fiscal procedures in the field of inheritance tax</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i/>
                <w:iCs/>
                <w:color w:val="26282A"/>
                <w:kern w:val="0"/>
                <w:sz w:val="26"/>
                <w:szCs w:val="26"/>
                <w:lang w:val="en-US" w:bidi="ar-SA"/>
              </w:rPr>
              <w:t>Peculiarities of the inheritance tax in the Romanian legislation</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The impact of inheritance tax on the Romanian population</w:t>
            </w:r>
          </w:p>
          <w:p>
            <w:pPr>
              <w:pStyle w:val="Ydp95b44438yiv9439068767ydp8faa8f6dmsolistparagraph"/>
              <w:widowControl w:val="false"/>
              <w:numPr>
                <w:ilvl w:val="0"/>
                <w:numId w:val="13"/>
              </w:numPr>
              <w:suppressAutoHyphens w:val="true"/>
              <w:spacing w:beforeAutospacing="0" w:before="0" w:afterAutospacing="0" w:after="0"/>
              <w:ind w:left="737"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Jurisprudential research on the application of inheritance tax at domestic, European and international level</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A look at the inheritance transfer tax</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The legal framework and the international mechanisms of cross-border and transnational cooperation in the matter of taxation of succession assets</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Aspects regarding the evolution of the inheritance tax at internal, European and international level</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Critical issues regarding the regulation of inheritance tax</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Inheritance tax for everyone's understanding</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Inheritance tax. Notion and solutions</w:t>
            </w:r>
          </w:p>
          <w:p>
            <w:pPr>
              <w:pStyle w:val="Ydp95b44438yiv9439068767ydp8faa8f6dmsolistparagraph"/>
              <w:widowControl w:val="false"/>
              <w:numPr>
                <w:ilvl w:val="0"/>
                <w:numId w:val="13"/>
              </w:numPr>
              <w:suppressAutoHyphens w:val="true"/>
              <w:spacing w:beforeAutospacing="0" w:before="0" w:afterAutospacing="0" w:after="0"/>
              <w:ind w:left="70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Solving/eliminating obstacles related to cross-border inheritance taxation</w:t>
            </w:r>
          </w:p>
          <w:p>
            <w:pPr>
              <w:pStyle w:val="ListParagraph"/>
              <w:widowControl w:val="false"/>
              <w:suppressAutoHyphens w:val="true"/>
              <w:spacing w:lineRule="auto" w:line="240" w:before="0" w:after="0"/>
              <w:ind w:left="737"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Ydp95b44438yiv9439068767ydp8faa8f6dmsolistparagraph"/>
              <w:widowControl w:val="false"/>
              <w:suppressAutoHyphens w:val="true"/>
              <w:spacing w:before="0" w:after="0"/>
              <w:ind w:left="900" w:hanging="0"/>
              <w:jc w:val="center"/>
              <w:rPr>
                <w:rFonts w:ascii="Arial" w:hAnsi="Arial" w:cs="Arial"/>
                <w:b/>
                <w:b/>
                <w:bCs/>
                <w:color w:val="26282A"/>
                <w:kern w:val="0"/>
                <w:sz w:val="26"/>
                <w:szCs w:val="26"/>
                <w:lang w:val="en-US" w:bidi="ar-SA"/>
              </w:rPr>
            </w:pPr>
            <w:r>
              <w:rPr>
                <w:rFonts w:cs="Arial" w:ascii="Arial" w:hAnsi="Arial"/>
                <w:b/>
                <w:bCs/>
                <w:color w:val="26282A"/>
                <w:kern w:val="0"/>
                <w:sz w:val="26"/>
                <w:szCs w:val="26"/>
                <w:lang w:val="en-US" w:bidi="ar-SA"/>
              </w:rPr>
              <w:t>CRIMINAL LAW</w:t>
            </w:r>
          </w:p>
        </w:tc>
      </w:tr>
      <w:tr>
        <w:trPr/>
        <w:tc>
          <w:tcPr>
            <w:tcW w:w="9062" w:type="dxa"/>
            <w:tcBorders/>
          </w:tcPr>
          <w:p>
            <w:pPr>
              <w:pStyle w:val="Xydp5d1a9d63msolistparagraph"/>
              <w:widowControl w:val="false"/>
              <w:shd w:val="clear" w:color="auto" w:fill="FFFFFF"/>
              <w:suppressAutoHyphens w:val="true"/>
              <w:spacing w:beforeAutospacing="0" w:before="0" w:afterAutospacing="0" w:after="0"/>
              <w:ind w:left="757" w:right="315" w:hanging="0"/>
              <w:jc w:val="both"/>
              <w:rPr>
                <w:rFonts w:ascii="Arial" w:hAnsi="Arial" w:cs="Arial"/>
                <w:kern w:val="0"/>
                <w:sz w:val="26"/>
                <w:szCs w:val="26"/>
                <w:lang w:val="en-US" w:eastAsia="en-US" w:bidi="ar-SA"/>
              </w:rPr>
            </w:pPr>
            <w:r>
              <w:rPr>
                <w:rFonts w:cs="Arial" w:ascii="Arial" w:hAnsi="Arial"/>
                <w:kern w:val="0"/>
                <w:sz w:val="26"/>
                <w:szCs w:val="26"/>
                <w:lang w:val="en-US" w:eastAsia="en-US" w:bidi="ar-SA"/>
              </w:rPr>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 xml:space="preserve">Succession indignity. Brief exposition on the crimes that attract the debarment from succession </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 xml:space="preserve">Conditions for the offense of attempted murder or attempted murder to result in debarment from succession </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shd w:fill="FFFFFF" w:val="clear"/>
                <w:lang w:val="en-US" w:eastAsia="en-US" w:bidi="ar-SA"/>
              </w:rPr>
            </w:pPr>
            <w:r>
              <w:rPr>
                <w:rFonts w:cs="Arial" w:ascii="Arial" w:hAnsi="Arial"/>
                <w:kern w:val="0"/>
                <w:sz w:val="26"/>
                <w:szCs w:val="26"/>
                <w:shd w:fill="FFFFFF" w:val="clear"/>
                <w:lang w:val="en-US" w:eastAsia="en-US" w:bidi="ar-SA"/>
              </w:rPr>
              <w:t>Offenses of forgery in documents committed in the notarial succession procedure</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shd w:fill="FFFFFF" w:val="clear"/>
                <w:lang w:val="en-US" w:eastAsia="en-US" w:bidi="ar-SA"/>
              </w:rPr>
            </w:pPr>
            <w:r>
              <w:rPr>
                <w:rFonts w:cs="Arial" w:ascii="Arial" w:hAnsi="Arial"/>
                <w:kern w:val="0"/>
                <w:sz w:val="26"/>
                <w:szCs w:val="26"/>
                <w:shd w:fill="FFFFFF" w:val="clear"/>
                <w:lang w:val="en-US" w:eastAsia="en-US" w:bidi="ar-SA"/>
              </w:rPr>
              <w:t>Debarment from succession in the case of murder committed out of material interest.</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shd w:fill="FFFFFF" w:val="clear"/>
                <w:lang w:val="en-US" w:eastAsia="en-US" w:bidi="ar-SA"/>
              </w:rPr>
            </w:pPr>
            <w:r>
              <w:rPr>
                <w:rFonts w:cs="Arial" w:ascii="Arial" w:hAnsi="Arial"/>
                <w:kern w:val="0"/>
                <w:sz w:val="26"/>
                <w:szCs w:val="26"/>
                <w:shd w:fill="FFFFFF" w:val="clear"/>
                <w:lang w:val="en-US" w:eastAsia="en-US" w:bidi="ar-SA"/>
              </w:rPr>
              <w:t xml:space="preserve">Causes that remove the execution of the sentence or the consequences of the conviction. Removing the effects of debarment from succession </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shd w:fill="FFFFFF" w:val="clear"/>
                <w:lang w:val="en-US" w:eastAsia="en-US" w:bidi="ar-SA"/>
              </w:rPr>
            </w:pPr>
            <w:r>
              <w:rPr>
                <w:rFonts w:cs="Arial" w:ascii="Arial" w:hAnsi="Arial"/>
                <w:kern w:val="0"/>
                <w:sz w:val="26"/>
                <w:szCs w:val="26"/>
                <w:shd w:fill="FFFFFF" w:val="clear"/>
                <w:lang w:val="en-US" w:eastAsia="en-US" w:bidi="ar-SA"/>
              </w:rPr>
              <w:t>Debarment from succession in case of a decision to waive the sentence or to postpone the application of the sentence</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The crime of perjury committed in the notarial succession procedure</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The meaning of terms or expressions in criminal law. The quality of "civil servant" of the notary public</w:t>
            </w:r>
          </w:p>
          <w:p>
            <w:pPr>
              <w:pStyle w:val="Xydp5d1a9d63msolistparagraph"/>
              <w:widowControl w:val="false"/>
              <w:numPr>
                <w:ilvl w:val="0"/>
                <w:numId w:val="14"/>
              </w:numPr>
              <w:shd w:val="clear" w:color="auto" w:fill="FFFFFF"/>
              <w:suppressAutoHyphens w:val="true"/>
              <w:spacing w:beforeAutospacing="0" w:before="0" w:afterAutospacing="0" w:after="0"/>
              <w:ind w:left="757"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Exercising civil action in criminal proceedings by or against successors</w:t>
            </w:r>
          </w:p>
          <w:p>
            <w:pPr>
              <w:pStyle w:val="Xydp5d1a9d63msolistparagraph"/>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eastAsia="en-US" w:bidi="ar-SA"/>
              </w:rPr>
            </w:pPr>
            <w:r>
              <w:rPr>
                <w:rFonts w:cs="Arial" w:ascii="Arial" w:hAnsi="Arial"/>
                <w:kern w:val="0"/>
                <w:sz w:val="26"/>
                <w:szCs w:val="26"/>
                <w:lang w:val="en-US" w:eastAsia="en-US" w:bidi="ar-SA"/>
              </w:rPr>
              <w:t xml:space="preserve">Procedure for confiscation or revocation of a document in case of dismissal ordered as a result of the death of the suspect or defendant </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Protection by means of criminal law of the succession patrimony;</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u w:val="none"/>
                <w:shd w:fill="FFFFFF" w:val="clear"/>
                <w:lang w:val="en-US" w:eastAsia="en-US" w:bidi="ar-SA"/>
              </w:rPr>
              <w:t>De jure de</w:t>
            </w:r>
            <w:r>
              <w:rPr>
                <w:rFonts w:cs="Arial" w:ascii="Arial" w:hAnsi="Arial"/>
                <w:kern w:val="0"/>
                <w:sz w:val="26"/>
                <w:szCs w:val="26"/>
                <w:shd w:fill="FFFFFF" w:val="clear"/>
                <w:lang w:val="en-US" w:eastAsia="en-US" w:bidi="ar-SA"/>
              </w:rPr>
              <w:t>barment from succession</w:t>
            </w:r>
            <w:r>
              <w:rPr>
                <w:rFonts w:cs="Arial" w:ascii="Arial" w:hAnsi="Arial"/>
                <w:kern w:val="0"/>
                <w:sz w:val="26"/>
                <w:szCs w:val="26"/>
                <w:lang w:val="en-US" w:bidi="ar-SA"/>
              </w:rPr>
              <w:t xml:space="preserve"> in matters of succession from a criminal perspective;</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 xml:space="preserve">Judicial </w:t>
            </w:r>
            <w:r>
              <w:rPr>
                <w:rFonts w:cs="Arial" w:ascii="Arial" w:hAnsi="Arial"/>
                <w:kern w:val="0"/>
                <w:sz w:val="26"/>
                <w:szCs w:val="26"/>
                <w:shd w:fill="FFFFFF" w:val="clear"/>
                <w:lang w:val="en-US" w:eastAsia="en-US" w:bidi="ar-SA"/>
              </w:rPr>
              <w:t>debarment from succession</w:t>
            </w:r>
            <w:r>
              <w:rPr>
                <w:rFonts w:cs="Arial" w:ascii="Arial" w:hAnsi="Arial"/>
                <w:kern w:val="0"/>
                <w:sz w:val="26"/>
                <w:szCs w:val="26"/>
                <w:lang w:val="en-US" w:bidi="ar-SA"/>
              </w:rPr>
              <w:t xml:space="preserve"> in matters of succession from a criminal perspective;</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 xml:space="preserve">The killing at the request of the victim and the possible implications of this crime on the institution of legal </w:t>
            </w:r>
            <w:r>
              <w:rPr>
                <w:rFonts w:cs="Arial" w:ascii="Arial" w:hAnsi="Arial"/>
                <w:kern w:val="0"/>
                <w:sz w:val="26"/>
                <w:szCs w:val="26"/>
                <w:shd w:fill="FFFFFF" w:val="clear"/>
                <w:lang w:val="en-US" w:eastAsia="en-US" w:bidi="ar-SA"/>
              </w:rPr>
              <w:t>debarment from succession</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About forgeries in documents from the perspective of judicial indignity in matters of succession;</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Protection of the succession patrimony in the Criminal Code;</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Elements of judicial practice regarding crimes against the succession patrimony;</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Analysis from a criminal and criminological perspective of the cases of termination of adoption as a result of committing criminal acts;</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Theoretical and practical aspects regarding the revocation of the donation for ingratitude at the request of the donor's heirs;</w:t>
            </w:r>
          </w:p>
          <w:p>
            <w:pPr>
              <w:pStyle w:val="Ydp554ae61fyiv9774242384msonormal"/>
              <w:widowControl w:val="false"/>
              <w:numPr>
                <w:ilvl w:val="0"/>
                <w:numId w:val="14"/>
              </w:numPr>
              <w:shd w:val="clear" w:color="auto" w:fill="FFFFFF"/>
              <w:suppressAutoHyphens w:val="true"/>
              <w:spacing w:beforeAutospacing="0" w:before="0" w:afterAutospacing="0" w:after="0"/>
              <w:ind w:left="700" w:right="315" w:hanging="360"/>
              <w:jc w:val="both"/>
              <w:rPr>
                <w:rFonts w:ascii="Arial" w:hAnsi="Arial" w:cs="Arial"/>
                <w:kern w:val="0"/>
                <w:sz w:val="26"/>
                <w:szCs w:val="26"/>
                <w:lang w:val="en-US" w:bidi="ar-SA"/>
              </w:rPr>
            </w:pPr>
            <w:r>
              <w:rPr>
                <w:rFonts w:cs="Arial" w:ascii="Arial" w:hAnsi="Arial"/>
                <w:kern w:val="0"/>
                <w:sz w:val="26"/>
                <w:szCs w:val="26"/>
                <w:lang w:val="en-US" w:bidi="ar-SA"/>
              </w:rPr>
              <w:t xml:space="preserve"> </w:t>
            </w:r>
            <w:r>
              <w:rPr>
                <w:rFonts w:cs="Arial" w:ascii="Arial" w:hAnsi="Arial"/>
                <w:kern w:val="0"/>
                <w:sz w:val="26"/>
                <w:szCs w:val="26"/>
                <w:lang w:val="en-US" w:bidi="ar-SA"/>
              </w:rPr>
              <w:t>Judicial revocation of the bequest for ingratitude at the request of the heir as a result of the commission of criminal acts by the legatee.</w:t>
            </w:r>
          </w:p>
          <w:p>
            <w:pPr>
              <w:pStyle w:val="Ydp554ae61fyiv9774242384msonormal"/>
              <w:widowControl w:val="false"/>
              <w:shd w:val="clear" w:color="auto" w:fill="FFFFFF"/>
              <w:suppressAutoHyphens w:val="true"/>
              <w:spacing w:beforeAutospacing="0" w:before="0" w:afterAutospacing="0" w:after="0"/>
              <w:ind w:left="700" w:right="315" w:hanging="0"/>
              <w:jc w:val="both"/>
              <w:rPr>
                <w:rFonts w:ascii="Arial" w:hAnsi="Arial" w:cs="Arial"/>
                <w:kern w:val="0"/>
                <w:sz w:val="22"/>
                <w:szCs w:val="22"/>
                <w:lang w:val="en-US" w:bidi="ar-SA"/>
              </w:rPr>
            </w:pPr>
            <w:r>
              <w:rPr>
                <w:rFonts w:cs="Arial" w:ascii="Arial" w:hAnsi="Arial"/>
                <w:kern w:val="0"/>
                <w:sz w:val="22"/>
                <w:szCs w:val="22"/>
                <w:lang w:val="en-US" w:bidi="ar-SA"/>
              </w:rPr>
            </w:r>
          </w:p>
        </w:tc>
      </w:tr>
      <w:tr>
        <w:trPr/>
        <w:tc>
          <w:tcPr>
            <w:tcW w:w="9062" w:type="dxa"/>
            <w:tcBorders/>
            <w:shd w:color="auto" w:fill="66FF33" w:val="clear"/>
          </w:tcPr>
          <w:p>
            <w:pPr>
              <w:pStyle w:val="ListParagraph"/>
              <w:widowControl w:val="false"/>
              <w:suppressAutoHyphens w:val="true"/>
              <w:spacing w:before="0" w:after="200"/>
              <w:ind w:left="720" w:right="315" w:hanging="0"/>
              <w:contextualSpacing/>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CRIMINAL PROCEDURAL LAW</w:t>
            </w:r>
          </w:p>
        </w:tc>
      </w:tr>
      <w:tr>
        <w:trPr/>
        <w:tc>
          <w:tcPr>
            <w:tcW w:w="9062" w:type="dxa"/>
            <w:tcBorders/>
            <w:shd w:color="auto" w:fill="auto" w:val="clear"/>
          </w:tcPr>
          <w:p>
            <w:pPr>
              <w:pStyle w:val="ListParagraph"/>
              <w:widowControl w:val="false"/>
              <w:suppressAutoHyphens w:val="true"/>
              <w:spacing w:lineRule="auto" w:line="240" w:before="0" w:after="0"/>
              <w:ind w:left="833"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debarment from succession analysed in concurrence with  “murder at the request of the victim” (190 Penal Code)</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process of forced opening of the succession after the death of the perpetrator</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Exercise of civil action by successors;</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Exercising civil action against successors;</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Disjunction of civil action and implications for successors;</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criminal investigation carried out with the participation of the successors of the victim who died as a result of the crime;</w:t>
            </w:r>
          </w:p>
          <w:p>
            <w:pPr>
              <w:pStyle w:val="ListParagraph"/>
              <w:widowControl w:val="false"/>
              <w:numPr>
                <w:ilvl w:val="0"/>
                <w:numId w:val="15"/>
              </w:numPr>
              <w:suppressAutoHyphens w:val="true"/>
              <w:spacing w:lineRule="auto" w:line="240" w:before="0" w:after="0"/>
              <w:ind w:left="833"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Criminal prosecution in case of malpractice. Participation of successors in criminal proceedings.</w:t>
            </w:r>
          </w:p>
          <w:p>
            <w:pPr>
              <w:pStyle w:val="ListParagraph"/>
              <w:widowControl w:val="false"/>
              <w:suppressAutoHyphens w:val="true"/>
              <w:spacing w:lineRule="auto" w:line="240" w:before="0" w:after="0"/>
              <w:ind w:left="833"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CRIMINOLOGY</w:t>
            </w:r>
          </w:p>
        </w:tc>
      </w:tr>
      <w:tr>
        <w:trPr/>
        <w:tc>
          <w:tcPr>
            <w:tcW w:w="9062" w:type="dxa"/>
            <w:tcBorders/>
            <w:shd w:color="auto" w:fill="auto" w:val="clear"/>
          </w:tcPr>
          <w:p>
            <w:pPr>
              <w:pStyle w:val="Ydp554ae61fyiv9774242384msonormal"/>
              <w:widowControl w:val="false"/>
              <w:shd w:val="clear" w:color="auto" w:fill="FFFFFF"/>
              <w:suppressAutoHyphens w:val="true"/>
              <w:spacing w:beforeAutospacing="0" w:before="0" w:afterAutospacing="0" w:after="0"/>
              <w:ind w:left="792" w:right="315" w:hanging="0"/>
              <w:jc w:val="both"/>
              <w:rPr>
                <w:rFonts w:ascii="Arial" w:hAnsi="Arial" w:cs="Arial"/>
                <w:kern w:val="0"/>
                <w:sz w:val="22"/>
                <w:szCs w:val="22"/>
                <w:lang w:val="en-US" w:bidi="ar-SA"/>
              </w:rPr>
            </w:pPr>
            <w:r>
              <w:rPr>
                <w:rFonts w:cs="Arial" w:ascii="Arial" w:hAnsi="Arial"/>
                <w:kern w:val="0"/>
                <w:sz w:val="22"/>
                <w:szCs w:val="22"/>
                <w:lang w:val="en-US" w:bidi="ar-SA"/>
              </w:rPr>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Criminal and criminological aspects regarding the crimes against the succession patrimony</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Criminal and criminological considerations regarding the incidence of indignity in the case of the crime of determining or facilitating suicide</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The perception and dimensions of domestic violence in rural areas and the effects of this phenomenon on inheritance</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The factors that generate domestic violence and the effects of this phenomenon on the succession patrimony</w:t>
              <w:br/>
              <w:t xml:space="preserve"> </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Criminological study on the patrimonial exploitation of a vulnerable person</w:t>
              <w:br/>
              <w:t xml:space="preserve"> </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Criminal and criminological aspects of property offenses through disregard of trust and effects on estate</w:t>
            </w:r>
          </w:p>
          <w:p>
            <w:pPr>
              <w:pStyle w:val="Ydp554ae61fyiv9774242384msonormal"/>
              <w:widowControl w:val="false"/>
              <w:numPr>
                <w:ilvl w:val="0"/>
                <w:numId w:val="16"/>
              </w:numPr>
              <w:shd w:val="clear" w:color="auto" w:fill="FFFFFF"/>
              <w:suppressAutoHyphens w:val="true"/>
              <w:spacing w:beforeAutospacing="0" w:before="0" w:afterAutospacing="0" w:after="0"/>
              <w:ind w:left="792" w:right="315" w:hanging="360"/>
              <w:jc w:val="both"/>
              <w:rPr>
                <w:rFonts w:ascii="Arial" w:hAnsi="Arial" w:cs="Arial"/>
                <w:kern w:val="0"/>
                <w:sz w:val="26"/>
                <w:szCs w:val="26"/>
                <w:lang w:val="en-US" w:bidi="ar-SA"/>
              </w:rPr>
            </w:pPr>
            <w:r>
              <w:rPr>
                <w:rFonts w:cs="Arial" w:ascii="Arial" w:hAnsi="Arial"/>
                <w:kern w:val="0"/>
                <w:sz w:val="26"/>
                <w:szCs w:val="26"/>
                <w:lang w:val="en-US" w:bidi="ar-SA"/>
              </w:rPr>
              <w:t>Comparative analysis on criminal protection in matters of succession in national and European legislation</w:t>
            </w:r>
          </w:p>
          <w:p>
            <w:pPr>
              <w:pStyle w:val="Normal"/>
              <w:widowControl w:val="false"/>
              <w:suppressAutoHyphens w:val="true"/>
              <w:spacing w:lineRule="auto" w:line="240" w:before="0" w:after="0"/>
              <w:ind w:right="315" w:hanging="0"/>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ind w:right="315" w:hanging="0"/>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THE LAW OF PROFESSIONALS</w:t>
            </w:r>
          </w:p>
        </w:tc>
      </w:tr>
      <w:tr>
        <w:trPr/>
        <w:tc>
          <w:tcPr>
            <w:tcW w:w="9062" w:type="dxa"/>
            <w:tcBorders/>
            <w:shd w:color="auto" w:fill="auto" w:val="clear"/>
          </w:tcPr>
          <w:p>
            <w:pPr>
              <w:pStyle w:val="ListParagraph"/>
              <w:widowControl w:val="false"/>
              <w:suppressAutoHyphens w:val="true"/>
              <w:spacing w:lineRule="auto" w:line="240" w:before="0" w:after="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Transmission of goodwill by legal or testamentary inheritance.</w:t>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Statutory clause for the continuation of the company with the heirs - exception from the dissolution of the company.</w:t>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Transmission of shares / interests by legal or testamentary inheritance.</w:t>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Transmission of the affected patrimony of the natural person trader by legal or testamentary inheritance.</w:t>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Continuation of the activity of the limited liability company in the event of the death of the sole shareholder.</w:t>
            </w:r>
          </w:p>
          <w:p>
            <w:pPr>
              <w:pStyle w:val="ListParagraph"/>
              <w:widowControl w:val="false"/>
              <w:numPr>
                <w:ilvl w:val="0"/>
                <w:numId w:val="17"/>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General considerations regarding the transmission of the social parts to the successors in relation to the statutory dissociations and of the law 31/1990.</w:t>
            </w:r>
          </w:p>
          <w:p>
            <w:pPr>
              <w:pStyle w:val="ListParagraph"/>
              <w:widowControl w:val="false"/>
              <w:suppressAutoHyphens w:val="true"/>
              <w:spacing w:lineRule="auto" w:line="240" w:before="0" w:after="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ListParagraph"/>
              <w:widowControl w:val="false"/>
              <w:suppressAutoHyphens w:val="true"/>
              <w:spacing w:before="0" w:after="200"/>
              <w:ind w:left="720" w:right="315" w:hanging="0"/>
              <w:contextualSpacing/>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INSOLVENCY LAW</w:t>
            </w:r>
          </w:p>
        </w:tc>
      </w:tr>
      <w:tr>
        <w:trPr/>
        <w:tc>
          <w:tcPr>
            <w:tcW w:w="9062" w:type="dxa"/>
            <w:tcBorders/>
            <w:shd w:color="auto" w:fill="auto" w:val="clear"/>
          </w:tcPr>
          <w:p>
            <w:pPr>
              <w:pStyle w:val="Ydp87fa821yiv1988364466ydpd04be8aemsonormal"/>
              <w:widowControl w:val="false"/>
              <w:suppressAutoHyphens w:val="true"/>
              <w:spacing w:beforeAutospacing="0" w:before="0" w:afterAutospacing="0" w:after="0"/>
              <w:ind w:left="720" w:right="315" w:hanging="0"/>
              <w:jc w:val="both"/>
              <w:rPr>
                <w:rFonts w:ascii="Arial" w:hAnsi="Arial" w:cs="Arial"/>
                <w:color w:val="26282A"/>
                <w:kern w:val="0"/>
                <w:sz w:val="22"/>
                <w:szCs w:val="22"/>
                <w:lang w:val="en-US" w:bidi="ar-SA"/>
              </w:rPr>
            </w:pPr>
            <w:r>
              <w:rPr>
                <w:rFonts w:cs="Arial" w:ascii="Arial" w:hAnsi="Arial"/>
                <w:color w:val="26282A"/>
                <w:kern w:val="0"/>
                <w:sz w:val="22"/>
                <w:szCs w:val="22"/>
                <w:lang w:val="en-US" w:bidi="ar-SA"/>
              </w:rPr>
            </w:r>
          </w:p>
          <w:p>
            <w:pPr>
              <w:pStyle w:val="Ydp87fa821yiv1988364466ydpd04be8aemsonormal"/>
              <w:widowControl w:val="false"/>
              <w:numPr>
                <w:ilvl w:val="0"/>
                <w:numId w:val="18"/>
              </w:numPr>
              <w:suppressAutoHyphens w:val="true"/>
              <w:spacing w:beforeAutospacing="0" w:before="0" w:afterAutospacing="0" w:after="0"/>
              <w:ind w:left="72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1. Special rules regarding the transmission of the procedural quality in the insolvency procedure of natural persons.</w:t>
            </w:r>
          </w:p>
          <w:p>
            <w:pPr>
              <w:pStyle w:val="Ydp87fa821yiv1988364466ydpd04be8aemsonormal"/>
              <w:widowControl w:val="false"/>
              <w:numPr>
                <w:ilvl w:val="0"/>
                <w:numId w:val="18"/>
              </w:numPr>
              <w:suppressAutoHyphens w:val="true"/>
              <w:spacing w:beforeAutospacing="0" w:before="0" w:afterAutospacing="0" w:after="0"/>
              <w:ind w:left="72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Insolvency proceedings of natural persons and its effects.</w:t>
              <w:br/>
            </w:r>
          </w:p>
          <w:p>
            <w:pPr>
              <w:pStyle w:val="Ydp87fa821yiv1988364466ydpd04be8aemsonormal"/>
              <w:widowControl w:val="false"/>
              <w:numPr>
                <w:ilvl w:val="0"/>
                <w:numId w:val="18"/>
              </w:numPr>
              <w:suppressAutoHyphens w:val="true"/>
              <w:spacing w:beforeAutospacing="0" w:before="0" w:afterAutospacing="0" w:after="0"/>
              <w:ind w:left="72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 xml:space="preserve"> </w:t>
            </w:r>
            <w:r>
              <w:rPr>
                <w:rFonts w:cs="Arial" w:ascii="Arial" w:hAnsi="Arial"/>
                <w:color w:val="26282A"/>
                <w:kern w:val="0"/>
                <w:sz w:val="26"/>
                <w:szCs w:val="26"/>
                <w:lang w:val="en-US" w:bidi="ar-SA"/>
              </w:rPr>
              <w:t>Insolvency of individuals and current issues in the application of the procedure.</w:t>
            </w:r>
          </w:p>
          <w:p>
            <w:pPr>
              <w:pStyle w:val="Ydp87fa821yiv1988364466ydpd04be8aemsonormal"/>
              <w:widowControl w:val="false"/>
              <w:numPr>
                <w:ilvl w:val="0"/>
                <w:numId w:val="18"/>
              </w:numPr>
              <w:suppressAutoHyphens w:val="true"/>
              <w:spacing w:beforeAutospacing="0" w:before="0" w:afterAutospacing="0" w:after="0"/>
              <w:ind w:left="720" w:right="315" w:hanging="360"/>
              <w:jc w:val="both"/>
              <w:rPr>
                <w:rFonts w:ascii="Arial" w:hAnsi="Arial" w:cs="Arial"/>
                <w:color w:val="26282A"/>
                <w:kern w:val="0"/>
                <w:sz w:val="26"/>
                <w:szCs w:val="26"/>
                <w:lang w:val="en-US" w:bidi="ar-SA"/>
              </w:rPr>
            </w:pPr>
            <w:r>
              <w:rPr>
                <w:rFonts w:cs="Arial" w:ascii="Arial" w:hAnsi="Arial"/>
                <w:color w:val="26282A"/>
                <w:kern w:val="0"/>
                <w:sz w:val="26"/>
                <w:szCs w:val="26"/>
                <w:lang w:val="en-US" w:bidi="ar-SA"/>
              </w:rPr>
              <w:t>Insolvency law of natural persons. The disadvantages and benefits of the law.</w:t>
            </w:r>
          </w:p>
          <w:p>
            <w:pPr>
              <w:pStyle w:val="Normal"/>
              <w:widowControl w:val="false"/>
              <w:suppressAutoHyphens w:val="true"/>
              <w:spacing w:lineRule="auto" w:line="240" w:before="0" w:after="0"/>
              <w:ind w:right="315" w:hanging="0"/>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Ydp87fa821yiv1988364466ydpd04be8aemsonormal"/>
              <w:widowControl w:val="false"/>
              <w:suppressAutoHyphens w:val="true"/>
              <w:spacing w:beforeAutospacing="0" w:before="0" w:afterAutospacing="0" w:after="0"/>
              <w:ind w:right="315" w:hanging="0"/>
              <w:jc w:val="center"/>
              <w:rPr>
                <w:rFonts w:ascii="Arial" w:hAnsi="Arial" w:cs="Arial"/>
                <w:b/>
                <w:b/>
                <w:bCs/>
                <w:color w:val="26282A"/>
                <w:kern w:val="0"/>
                <w:sz w:val="24"/>
                <w:szCs w:val="24"/>
                <w:lang w:val="en-US" w:bidi="ar-SA"/>
              </w:rPr>
            </w:pPr>
            <w:r>
              <w:rPr>
                <w:rFonts w:cs="Arial" w:ascii="Arial" w:hAnsi="Arial"/>
                <w:b/>
                <w:bCs/>
                <w:color w:val="26282A"/>
                <w:kern w:val="0"/>
                <w:sz w:val="24"/>
                <w:szCs w:val="24"/>
                <w:lang w:val="en-US" w:bidi="ar-SA"/>
              </w:rPr>
              <w:t>INTERNATIONAL TRADE LAW</w:t>
            </w:r>
          </w:p>
        </w:tc>
      </w:tr>
      <w:tr>
        <w:trPr/>
        <w:tc>
          <w:tcPr>
            <w:tcW w:w="9062" w:type="dxa"/>
            <w:tcBorders/>
            <w:shd w:color="auto" w:fill="auto" w:val="clear"/>
          </w:tcPr>
          <w:p>
            <w:pPr>
              <w:pStyle w:val="Ydp87fa821yiv1988364466ydpd04be8aemsonormal"/>
              <w:widowControl w:val="false"/>
              <w:suppressAutoHyphens w:val="true"/>
              <w:spacing w:beforeAutospacing="0" w:before="0" w:afterAutospacing="0" w:after="0"/>
              <w:ind w:left="700" w:right="315" w:hanging="0"/>
              <w:jc w:val="both"/>
              <w:rPr>
                <w:rFonts w:ascii="Arial" w:hAnsi="Arial" w:cs="Arial"/>
                <w:color w:val="26282A"/>
                <w:kern w:val="0"/>
                <w:sz w:val="22"/>
                <w:szCs w:val="22"/>
                <w:lang w:val="en-US" w:bidi="ar-SA"/>
              </w:rPr>
            </w:pPr>
            <w:r>
              <w:rPr>
                <w:rFonts w:cs="Arial" w:ascii="Arial" w:hAnsi="Arial"/>
                <w:color w:val="26282A"/>
                <w:kern w:val="0"/>
                <w:sz w:val="22"/>
                <w:szCs w:val="22"/>
                <w:lang w:val="en-US" w:bidi="ar-SA"/>
              </w:rPr>
            </w:r>
          </w:p>
          <w:p>
            <w:pPr>
              <w:pStyle w:val="Ydp87fa821yiv1988364466ydpd04be8aemsonormal"/>
              <w:widowControl w:val="false"/>
              <w:numPr>
                <w:ilvl w:val="2"/>
                <w:numId w:val="19"/>
              </w:numPr>
              <w:suppressAutoHyphens w:val="true"/>
              <w:spacing w:beforeAutospacing="0" w:before="0" w:afterAutospacing="0" w:after="0"/>
              <w:ind w:left="700" w:right="315" w:hanging="360"/>
              <w:jc w:val="both"/>
              <w:rPr/>
            </w:pPr>
            <w:r>
              <w:rPr>
                <w:rStyle w:val="Emphasis"/>
                <w:rFonts w:eastAsia="Times New Roman" w:cs="Arial" w:ascii="Arial" w:hAnsi="Arial"/>
                <w:i w:val="false"/>
                <w:iCs w:val="false"/>
                <w:color w:val="26282A"/>
                <w:kern w:val="0"/>
                <w:sz w:val="26"/>
                <w:szCs w:val="26"/>
                <w:lang w:val="en-US" w:bidi="ar-SA"/>
              </w:rPr>
              <w:t>Transposition of the European Directive 2019/1023 in Romania. Benefits of the restructuring agreement procedure.</w:t>
            </w:r>
          </w:p>
          <w:p>
            <w:pPr>
              <w:pStyle w:val="Ydp87fa821yiv1988364466ydpd04be8aemsonormal"/>
              <w:widowControl w:val="false"/>
              <w:suppressAutoHyphens w:val="true"/>
              <w:spacing w:beforeAutospacing="0" w:before="0" w:afterAutospacing="0" w:after="0"/>
              <w:ind w:left="700" w:right="315" w:hanging="0"/>
              <w:jc w:val="both"/>
              <w:rPr>
                <w:rFonts w:ascii="Arial" w:hAnsi="Arial" w:cs="Arial"/>
                <w:color w:val="26282A"/>
                <w:kern w:val="0"/>
                <w:sz w:val="22"/>
                <w:szCs w:val="22"/>
                <w:lang w:val="en-US" w:bidi="ar-SA"/>
              </w:rPr>
            </w:pPr>
            <w:r>
              <w:rPr>
                <w:rFonts w:cs="Arial" w:ascii="Arial" w:hAnsi="Arial"/>
                <w:color w:val="26282A"/>
                <w:kern w:val="0"/>
                <w:sz w:val="22"/>
                <w:szCs w:val="22"/>
                <w:lang w:val="en-US" w:bidi="ar-SA"/>
              </w:rPr>
            </w:r>
          </w:p>
        </w:tc>
      </w:tr>
      <w:tr>
        <w:trPr/>
        <w:tc>
          <w:tcPr>
            <w:tcW w:w="9062" w:type="dxa"/>
            <w:tcBorders/>
            <w:shd w:color="auto" w:fill="66FF33" w:val="clear"/>
          </w:tcPr>
          <w:p>
            <w:pPr>
              <w:pStyle w:val="Ydp87fa821yiv1988364466ydpd04be8aemsonormal"/>
              <w:widowControl w:val="false"/>
              <w:suppressAutoHyphens w:val="true"/>
              <w:spacing w:beforeAutospacing="0" w:before="0" w:afterAutospacing="0" w:after="0"/>
              <w:ind w:right="315" w:hanging="0"/>
              <w:jc w:val="center"/>
              <w:rPr>
                <w:rFonts w:ascii="Arial" w:hAnsi="Arial" w:eastAsia="Times New Roman" w:cs="Arial"/>
                <w:b/>
                <w:b/>
                <w:bCs/>
                <w:color w:val="26282A"/>
                <w:spacing w:val="15"/>
                <w:kern w:val="0"/>
                <w:sz w:val="24"/>
                <w:szCs w:val="24"/>
                <w:lang w:val="en-US" w:bidi="ar-SA"/>
              </w:rPr>
            </w:pPr>
            <w:r>
              <w:rPr>
                <w:rFonts w:eastAsia="Times New Roman" w:cs="Arial" w:ascii="Arial" w:hAnsi="Arial"/>
                <w:b/>
                <w:bCs/>
                <w:color w:val="26282A"/>
                <w:spacing w:val="15"/>
                <w:kern w:val="0"/>
                <w:sz w:val="24"/>
                <w:szCs w:val="24"/>
                <w:lang w:val="en-US" w:bidi="ar-SA"/>
              </w:rPr>
              <w:t>INTERNATIONAL PUBLIC LAW</w:t>
            </w:r>
          </w:p>
        </w:tc>
      </w:tr>
      <w:tr>
        <w:trPr/>
        <w:tc>
          <w:tcPr>
            <w:tcW w:w="9062" w:type="dxa"/>
            <w:tcBorders/>
            <w:shd w:color="auto" w:fill="auto" w:val="clear"/>
          </w:tcPr>
          <w:p>
            <w:pPr>
              <w:pStyle w:val="ListParagraph"/>
              <w:widowControl w:val="false"/>
              <w:suppressAutoHyphens w:val="true"/>
              <w:spacing w:lineRule="auto" w:line="240" w:before="0" w:after="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succession of states to international organizations under public international law.</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Succession of states according to internationally adopted treaties.</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Practical aspects regarding the succession of states to treaties, goods, archives and state debt.</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Specific issues concerning succession cases identified in public international law.</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The succession of states in terms of state responsibility.</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Institutions of public international law with competences in cross-border successions.</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Incidental international organizations in the cross-border succession procedure.</w:t>
            </w:r>
          </w:p>
          <w:p>
            <w:pPr>
              <w:pStyle w:val="ListParagraph"/>
              <w:widowControl w:val="false"/>
              <w:numPr>
                <w:ilvl w:val="0"/>
                <w:numId w:val="20"/>
              </w:numPr>
              <w:suppressAutoHyphens w:val="true"/>
              <w:spacing w:lineRule="auto" w:line="240" w:before="0" w:after="0"/>
              <w:ind w:left="720" w:right="315" w:hanging="360"/>
              <w:contextualSpacing/>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 xml:space="preserve">  </w:t>
            </w:r>
            <w:r>
              <w:rPr>
                <w:rFonts w:eastAsia="Times New Roman" w:cs="Arial" w:ascii="Arial" w:hAnsi="Arial"/>
                <w:color w:val="26282A"/>
                <w:kern w:val="0"/>
                <w:sz w:val="26"/>
                <w:szCs w:val="26"/>
                <w:lang w:val="en-US" w:bidi="ar-SA"/>
              </w:rPr>
              <w:t>Codified general rules of public international law relating to the succession of States.</w:t>
            </w:r>
          </w:p>
          <w:p>
            <w:pPr>
              <w:pStyle w:val="Ydpc39d0ba1yiv5602785925msolistparagraph"/>
              <w:widowControl w:val="false"/>
              <w:numPr>
                <w:ilvl w:val="0"/>
                <w:numId w:val="20"/>
              </w:numPr>
              <w:suppressAutoHyphens w:val="true"/>
              <w:spacing w:before="0" w:after="0"/>
              <w:ind w:left="720" w:right="315" w:hanging="360"/>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Conventional and customary principles that apply to the succession of states. Practical cases.</w:t>
            </w:r>
          </w:p>
          <w:p>
            <w:pPr>
              <w:pStyle w:val="Ydpc39d0ba1yiv5602785925msolistparagraph"/>
              <w:widowControl w:val="false"/>
              <w:numPr>
                <w:ilvl w:val="0"/>
                <w:numId w:val="20"/>
              </w:numPr>
              <w:suppressAutoHyphens w:val="true"/>
              <w:spacing w:before="0" w:after="0"/>
              <w:ind w:left="720" w:right="315" w:hanging="360"/>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The distinction between successor state and successor state. Practical aspects.</w:t>
            </w:r>
          </w:p>
          <w:p>
            <w:pPr>
              <w:pStyle w:val="Ydpc39d0ba1yiv5602785925msolistparagraph"/>
              <w:widowControl w:val="false"/>
              <w:numPr>
                <w:ilvl w:val="0"/>
                <w:numId w:val="20"/>
              </w:numPr>
              <w:suppressAutoHyphens w:val="true"/>
              <w:spacing w:before="0" w:after="0"/>
              <w:ind w:left="720" w:right="315" w:hanging="360"/>
              <w:jc w:val="both"/>
              <w:rPr>
                <w:rFonts w:ascii="Arial" w:hAnsi="Arial" w:eastAsia="Times New Roman" w:cs="Arial"/>
                <w:color w:val="26282A"/>
                <w:kern w:val="0"/>
                <w:sz w:val="26"/>
                <w:szCs w:val="26"/>
                <w:lang w:val="en-US" w:bidi="ar-SA"/>
              </w:rPr>
            </w:pPr>
            <w:r>
              <w:rPr>
                <w:rFonts w:eastAsia="Times New Roman" w:cs="Arial" w:ascii="Arial" w:hAnsi="Arial"/>
                <w:color w:val="26282A"/>
                <w:kern w:val="0"/>
                <w:sz w:val="26"/>
                <w:szCs w:val="26"/>
                <w:lang w:val="en-US" w:bidi="ar-SA"/>
              </w:rPr>
              <w:t>International recognition of a newly created state. Effects on the citizens of that state.</w:t>
            </w:r>
          </w:p>
        </w:tc>
      </w:tr>
      <w:tr>
        <w:trPr/>
        <w:tc>
          <w:tcPr>
            <w:tcW w:w="9062" w:type="dxa"/>
            <w:tcBorders/>
            <w:shd w:color="auto" w:fill="66FF33" w:val="clear"/>
          </w:tcPr>
          <w:p>
            <w:pPr>
              <w:pStyle w:val="Normal"/>
              <w:widowControl w:val="false"/>
              <w:suppressAutoHyphens w:val="true"/>
              <w:spacing w:lineRule="auto" w:line="240" w:before="0" w:after="0"/>
              <w:ind w:right="315" w:hanging="0"/>
              <w:jc w:val="both"/>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 xml:space="preserve">                                       </w:t>
            </w:r>
            <w:r>
              <w:rPr>
                <w:rFonts w:eastAsia="Calibri" w:cs="Arial" w:ascii="Arial" w:hAnsi="Arial"/>
                <w:b/>
                <w:bCs/>
                <w:kern w:val="0"/>
                <w:sz w:val="26"/>
                <w:szCs w:val="26"/>
                <w:lang w:val="en-US" w:eastAsia="en-US" w:bidi="ar-SA"/>
              </w:rPr>
              <w:t>EU INSTITUTIONAL LAW</w:t>
            </w:r>
          </w:p>
        </w:tc>
      </w:tr>
      <w:tr>
        <w:trPr/>
        <w:tc>
          <w:tcPr>
            <w:tcW w:w="9062" w:type="dxa"/>
            <w:tcBorders/>
            <w:shd w:color="auto" w:fill="auto" w:val="clear"/>
          </w:tcPr>
          <w:p>
            <w:pPr>
              <w:pStyle w:val="ListParagraph"/>
              <w:widowControl w:val="false"/>
              <w:suppressAutoHyphens w:val="true"/>
              <w:spacing w:lineRule="auto" w:line="240" w:before="0" w:after="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2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Perspectives on European law of succession.</w:t>
            </w:r>
          </w:p>
          <w:p>
            <w:pPr>
              <w:pStyle w:val="ListParagraph"/>
              <w:widowControl w:val="false"/>
              <w:numPr>
                <w:ilvl w:val="0"/>
                <w:numId w:val="2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European Union law on cross-border successions.</w:t>
            </w:r>
          </w:p>
          <w:p>
            <w:pPr>
              <w:pStyle w:val="ListParagraph"/>
              <w:widowControl w:val="false"/>
              <w:numPr>
                <w:ilvl w:val="0"/>
                <w:numId w:val="2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Improving the application of EU regulations on family law and succession.</w:t>
            </w:r>
          </w:p>
          <w:p>
            <w:pPr>
              <w:pStyle w:val="ListParagraph"/>
              <w:widowControl w:val="false"/>
              <w:numPr>
                <w:ilvl w:val="0"/>
                <w:numId w:val="2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Interpretations of art. 1 of Protocol no. 1 to the European Convention on Human Rights on the Rights of Heirs.</w:t>
            </w:r>
          </w:p>
          <w:p>
            <w:pPr>
              <w:pStyle w:val="Normal"/>
              <w:widowControl w:val="false"/>
              <w:suppressAutoHyphens w:val="true"/>
              <w:spacing w:lineRule="auto" w:line="240" w:before="0" w:after="0"/>
              <w:ind w:right="315" w:hanging="0"/>
              <w:jc w:val="both"/>
              <w:rPr>
                <w:rFonts w:eastAsia="Calibri"/>
                <w:kern w:val="0"/>
                <w:sz w:val="22"/>
                <w:szCs w:val="22"/>
                <w:lang w:val="en-US" w:eastAsia="en-US" w:bidi="ar-SA"/>
              </w:rPr>
            </w:pPr>
            <w:r>
              <w:rPr>
                <w:rFonts w:eastAsia="Calibri"/>
                <w:kern w:val="0"/>
                <w:sz w:val="22"/>
                <w:szCs w:val="22"/>
                <w:lang w:val="en-US" w:eastAsia="en-US" w:bidi="ar-SA"/>
              </w:rPr>
              <w:t xml:space="preserve"> </w:t>
            </w:r>
          </w:p>
        </w:tc>
      </w:tr>
      <w:tr>
        <w:trPr/>
        <w:tc>
          <w:tcPr>
            <w:tcW w:w="9062" w:type="dxa"/>
            <w:tcBorders/>
            <w:shd w:color="auto" w:fill="66FF33" w:val="clear"/>
          </w:tcPr>
          <w:p>
            <w:pPr>
              <w:pStyle w:val="Ydp87fa821yiv1988364466ydpd04be8aemsonormal"/>
              <w:widowControl w:val="false"/>
              <w:suppressAutoHyphens w:val="true"/>
              <w:spacing w:before="0" w:after="0"/>
              <w:ind w:right="315" w:hanging="0"/>
              <w:jc w:val="both"/>
              <w:rPr>
                <w:rFonts w:ascii="Arial" w:hAnsi="Arial" w:cs="Arial"/>
                <w:b/>
                <w:b/>
                <w:bCs/>
                <w:color w:val="26282A"/>
                <w:kern w:val="0"/>
                <w:sz w:val="26"/>
                <w:szCs w:val="26"/>
                <w:lang w:val="en-US" w:bidi="ar-SA"/>
              </w:rPr>
            </w:pPr>
            <w:r>
              <w:rPr>
                <w:rFonts w:cs="Arial" w:ascii="Arial" w:hAnsi="Arial"/>
                <w:b/>
                <w:bCs/>
                <w:color w:val="26282A"/>
                <w:kern w:val="0"/>
                <w:sz w:val="26"/>
                <w:szCs w:val="26"/>
                <w:lang w:val="en-US" w:bidi="ar-SA"/>
              </w:rPr>
              <w:t xml:space="preserve">                                    </w:t>
            </w:r>
            <w:r>
              <w:rPr>
                <w:rFonts w:cs="Arial" w:ascii="Arial" w:hAnsi="Arial"/>
                <w:b/>
                <w:bCs/>
                <w:color w:val="26282A"/>
                <w:kern w:val="0"/>
                <w:sz w:val="26"/>
                <w:szCs w:val="26"/>
                <w:lang w:val="en-US" w:bidi="ar-SA"/>
              </w:rPr>
              <w:t>PRIVATE INTERNATIONAL LAW</w:t>
            </w:r>
          </w:p>
        </w:tc>
      </w:tr>
      <w:tr>
        <w:trPr/>
        <w:tc>
          <w:tcPr>
            <w:tcW w:w="9062" w:type="dxa"/>
            <w:tcBorders/>
            <w:shd w:color="auto" w:fill="auto" w:val="clear"/>
          </w:tcPr>
          <w:p>
            <w:pPr>
              <w:pStyle w:val="ListParagraph"/>
              <w:widowControl w:val="false"/>
              <w:suppressAutoHyphens w:val="true"/>
              <w:spacing w:lineRule="auto" w:line="240" w:before="0" w:after="0"/>
              <w:ind w:left="720" w:right="315"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European Certificate of Succession, a new tool for Member States' national legal systems. Its coexistence with the certificate of national heir.</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Europeanization of cross-border successions. Advantages of the European Certificate of Succession.</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Theoretical and practical aspects of cross-border use of the European Certificate of Succession.</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concept of habitual residence, as the main connecting factor in resolving conflicts of laws and jurisdictions in matters of cross-border succession, according to EU Regulation no. 650/2012.</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What is the law applicable to inheritance with cross-border elements? The main connecting factors used by EU Regulation no. 650/2012.</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Theoretical and practical benchmarks regarding the autonomous qualification of the notion of “court” from the perspective of Regulation (EU) no. 650/2012. Assimilation of the notary who opens the succession procedure to the concept of "court".</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pacts on a future succession in the regulation of Regulation (EU) no. 650/2012. Comparison with the Romanian legal system.</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principle of unity of succession, a key concept of Regulation (EU) no. 650/2012. Its role in delimiting the laws applicable to successions with cross-border implications.</w:t>
            </w:r>
          </w:p>
          <w:p>
            <w:pPr>
              <w:pStyle w:val="ListParagraph"/>
              <w:widowControl w:val="false"/>
              <w:numPr>
                <w:ilvl w:val="0"/>
                <w:numId w:val="1"/>
              </w:numPr>
              <w:suppressAutoHyphens w:val="true"/>
              <w:spacing w:lineRule="auto" w:line="240" w:before="0"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Judgment of the CJEU in Case C-80/19, an opportunity for the CJEU to provide a detailed and comprehensive interpretation of Regulation (EU) no. 650/2012.</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color w:val="000000"/>
                <w:kern w:val="0"/>
                <w:sz w:val="26"/>
                <w:szCs w:val="26"/>
                <w:shd w:fill="FFFFFF" w:val="clear"/>
                <w:lang w:val="en-US" w:eastAsia="en-US" w:bidi="ar-SA"/>
              </w:rPr>
              <w:t xml:space="preserve"> </w:t>
            </w:r>
            <w:r>
              <w:rPr>
                <w:rFonts w:eastAsia="Calibri" w:cs="Arial" w:ascii="Arial" w:hAnsi="Arial"/>
                <w:color w:val="000000"/>
                <w:kern w:val="0"/>
                <w:sz w:val="26"/>
                <w:szCs w:val="26"/>
                <w:shd w:fill="FFFFFF" w:val="clear"/>
                <w:lang w:val="en-US" w:eastAsia="en-US" w:bidi="ar-SA"/>
              </w:rPr>
              <w:t>Recognition of the real effects of the bequest "by claim" under the EU Regulation on succession no. 650/2012 following Decision C-218/16, Kubicka.</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Succession reserve, value protected by the exception of public order of private international law?</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color w:val="000000"/>
                <w:kern w:val="0"/>
                <w:sz w:val="26"/>
                <w:szCs w:val="26"/>
                <w:lang w:val="en-US" w:eastAsia="en-US" w:bidi="ar-SA"/>
              </w:rPr>
              <w:t xml:space="preserve"> </w:t>
            </w:r>
            <w:r>
              <w:rPr>
                <w:rFonts w:eastAsia="Calibri" w:cs="Arial" w:ascii="Arial" w:hAnsi="Arial"/>
                <w:color w:val="000000"/>
                <w:kern w:val="0"/>
                <w:sz w:val="26"/>
                <w:szCs w:val="26"/>
                <w:lang w:val="en-US" w:eastAsia="en-US" w:bidi="ar-SA"/>
              </w:rPr>
              <w:t>Essential aspects of the recognition and enforcement of authentic instruments and court transactions in matters of succession from the perspective of Regulation (EU) No 650/2012.</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Parallel between the reserve of succession in domestic law and in private international law.</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lang w:val="en-US" w:eastAsia="en-US" w:bidi="ar-SA"/>
              </w:rPr>
              <w:t xml:space="preserve"> </w:t>
            </w:r>
            <w:r>
              <w:rPr>
                <w:rFonts w:eastAsia="Calibri" w:cs="Arial" w:ascii="Arial" w:hAnsi="Arial"/>
                <w:color w:val="000000" w:themeColor="text1"/>
                <w:kern w:val="0"/>
                <w:sz w:val="26"/>
                <w:szCs w:val="26"/>
                <w:lang w:val="en-US" w:eastAsia="en-US" w:bidi="ar-SA"/>
              </w:rPr>
              <w:t>Means of planning international successions.</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 xml:space="preserve"> </w:t>
            </w:r>
            <w:r>
              <w:rPr>
                <w:rFonts w:eastAsia="Calibri" w:cs="Arial" w:ascii="Arial" w:hAnsi="Arial"/>
                <w:color w:val="000000" w:themeColor="text1"/>
                <w:kern w:val="0"/>
                <w:sz w:val="26"/>
                <w:szCs w:val="26"/>
                <w:shd w:fill="FFFFFF" w:val="clear"/>
                <w:lang w:val="en-US" w:eastAsia="en-US" w:bidi="ar-SA"/>
              </w:rPr>
              <w:t>Brief theoretical and practical foray into the recognition, enforcement and enforcement of succession judgments in the light of Regulation (EU) No. 182/2011 650/2012.</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color w:val="000000" w:themeColor="text1"/>
                <w:kern w:val="0"/>
                <w:sz w:val="26"/>
                <w:szCs w:val="26"/>
                <w:lang w:val="en-US" w:eastAsia="en-US" w:bidi="ar-SA"/>
              </w:rPr>
              <w:t>Specific rules for resolving conflicts of jurisdiction in cross-border successions.</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The influence of EU law on national rules on succession proceedings.</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lang w:val="en-US" w:eastAsia="en-US" w:bidi="ar-SA"/>
              </w:rPr>
              <w:t xml:space="preserve"> </w:t>
            </w:r>
            <w:r>
              <w:rPr>
                <w:rFonts w:eastAsia="Calibri" w:cs="Arial" w:ascii="Arial" w:hAnsi="Arial"/>
                <w:color w:val="000000" w:themeColor="text1"/>
                <w:kern w:val="0"/>
                <w:sz w:val="26"/>
                <w:szCs w:val="26"/>
                <w:shd w:fill="FFFFFF" w:val="clear"/>
                <w:lang w:val="en-US" w:eastAsia="en-US" w:bidi="ar-SA"/>
              </w:rPr>
              <w:t>The importance of the autonomous qualification of the terms and notions used by Regulation (EU) no. 650/2012. The role of the Court of Justice of the European Union in this matter. Relevant practice.</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color w:val="000000" w:themeColor="text1"/>
                <w:kern w:val="0"/>
                <w:sz w:val="26"/>
                <w:szCs w:val="26"/>
                <w:shd w:fill="FFFFFF" w:val="clear"/>
                <w:lang w:val="en-US" w:eastAsia="en-US" w:bidi="ar-SA"/>
              </w:rPr>
              <w:t>Theoretical considerations on exclusions from the scope of Regulation (EU) no. 650/2012.</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Methods and means of determining the foreign law applicable to the succession with foreign element.</w:t>
            </w:r>
          </w:p>
          <w:p>
            <w:pPr>
              <w:pStyle w:val="ListParagraph"/>
              <w:widowControl w:val="false"/>
              <w:numPr>
                <w:ilvl w:val="0"/>
                <w:numId w:val="1"/>
              </w:numPr>
              <w:suppressAutoHyphens w:val="true"/>
              <w:spacing w:lineRule="auto" w:line="240" w:before="0" w:after="0"/>
              <w:ind w:left="70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Analysis of the scope of the law applicable to cross-border succession, by reference to the provisions of Article 23 of Regulation (EU) No 650/2012.</w:t>
            </w:r>
          </w:p>
          <w:p>
            <w:pPr>
              <w:pStyle w:val="Ydpc39d0ba1yiv5602785925msolistparagraph"/>
              <w:widowControl w:val="false"/>
              <w:numPr>
                <w:ilvl w:val="0"/>
                <w:numId w:val="1"/>
              </w:numPr>
              <w:suppressAutoHyphens w:val="true"/>
              <w:spacing w:beforeAutospacing="0" w:before="0" w:afterAutospacing="0" w:after="0"/>
              <w:ind w:left="700" w:right="315" w:hanging="360"/>
              <w:jc w:val="both"/>
              <w:rPr>
                <w:rFonts w:ascii="Helvetica" w:hAnsi="Helvetica" w:eastAsia="Times New Roman" w:cs="Helvetica"/>
                <w:color w:val="26282A"/>
                <w:kern w:val="0"/>
                <w:sz w:val="26"/>
                <w:szCs w:val="26"/>
                <w:lang w:val="en-US" w:bidi="ar-SA"/>
              </w:rPr>
            </w:pPr>
            <w:r>
              <w:rPr>
                <w:rFonts w:eastAsia="Times New Roman" w:cs="Helvetica" w:ascii="Helvetica" w:hAnsi="Helvetica"/>
                <w:color w:val="26282A"/>
                <w:kern w:val="0"/>
                <w:sz w:val="26"/>
                <w:szCs w:val="26"/>
                <w:lang w:val="en-US" w:bidi="ar-SA"/>
              </w:rPr>
              <w:t>An overview of European inheritance law</w:t>
            </w:r>
          </w:p>
          <w:p>
            <w:pPr>
              <w:pStyle w:val="Ydpc39d0ba1yiv5602785925msolistparagraph"/>
              <w:widowControl w:val="false"/>
              <w:numPr>
                <w:ilvl w:val="0"/>
                <w:numId w:val="1"/>
              </w:numPr>
              <w:suppressAutoHyphens w:val="true"/>
              <w:spacing w:beforeAutospacing="0" w:before="0" w:afterAutospacing="0" w:after="0"/>
              <w:ind w:left="700" w:right="315" w:hanging="360"/>
              <w:jc w:val="both"/>
              <w:rPr>
                <w:rFonts w:ascii="Helvetica" w:hAnsi="Helvetica" w:eastAsia="Times New Roman" w:cs="Helvetica"/>
                <w:color w:val="26282A"/>
                <w:kern w:val="0"/>
                <w:sz w:val="26"/>
                <w:szCs w:val="26"/>
                <w:lang w:val="en-US" w:bidi="ar-SA"/>
              </w:rPr>
            </w:pPr>
            <w:r>
              <w:rPr>
                <w:rFonts w:eastAsia="Times New Roman" w:cs="Helvetica" w:ascii="Helvetica" w:hAnsi="Helvetica"/>
                <w:color w:val="26282A"/>
                <w:kern w:val="0"/>
                <w:sz w:val="26"/>
                <w:szCs w:val="26"/>
                <w:lang w:val="en-US" w:bidi="ar-SA"/>
              </w:rPr>
              <w:t>International competence in the case of successions with foreign elements from the perspective of European law and international treaties.</w:t>
            </w:r>
          </w:p>
          <w:p>
            <w:pPr>
              <w:pStyle w:val="Ydpc39d0ba1yiv5602785925msolistparagraph"/>
              <w:widowControl w:val="false"/>
              <w:numPr>
                <w:ilvl w:val="0"/>
                <w:numId w:val="1"/>
              </w:numPr>
              <w:suppressAutoHyphens w:val="true"/>
              <w:spacing w:beforeAutospacing="0" w:before="0" w:afterAutospacing="0" w:after="0"/>
              <w:ind w:left="700" w:right="315" w:hanging="360"/>
              <w:jc w:val="both"/>
              <w:rPr>
                <w:rFonts w:ascii="Helvetica" w:hAnsi="Helvetica" w:eastAsia="Times New Roman" w:cs="Helvetica"/>
                <w:color w:val="26282A"/>
                <w:kern w:val="0"/>
                <w:sz w:val="26"/>
                <w:szCs w:val="26"/>
                <w:lang w:val="en-US" w:bidi="ar-SA"/>
              </w:rPr>
            </w:pPr>
            <w:r>
              <w:rPr>
                <w:rFonts w:eastAsia="Times New Roman" w:cs="Helvetica" w:ascii="Helvetica" w:hAnsi="Helvetica"/>
                <w:color w:val="26282A"/>
                <w:kern w:val="0"/>
                <w:sz w:val="26"/>
                <w:szCs w:val="26"/>
                <w:lang w:val="en-US" w:bidi="ar-SA"/>
              </w:rPr>
              <w:t>Universal application of the law of succession. Practical aspects.</w:t>
            </w:r>
          </w:p>
          <w:p>
            <w:pPr>
              <w:pStyle w:val="Ydpc39d0ba1yiv5602785925msolistparagraph"/>
              <w:widowControl w:val="false"/>
              <w:numPr>
                <w:ilvl w:val="0"/>
                <w:numId w:val="1"/>
              </w:numPr>
              <w:suppressAutoHyphens w:val="true"/>
              <w:spacing w:beforeAutospacing="0" w:before="0" w:afterAutospacing="0" w:after="0"/>
              <w:ind w:left="700" w:right="315" w:hanging="360"/>
              <w:jc w:val="both"/>
              <w:rPr>
                <w:rFonts w:ascii="Helvetica" w:hAnsi="Helvetica" w:eastAsia="Times New Roman" w:cs="Helvetica"/>
                <w:color w:val="26282A"/>
                <w:kern w:val="0"/>
                <w:sz w:val="26"/>
                <w:szCs w:val="26"/>
                <w:lang w:val="en-US" w:bidi="ar-SA"/>
              </w:rPr>
            </w:pPr>
            <w:r>
              <w:rPr>
                <w:rFonts w:eastAsia="Times New Roman" w:cs="Helvetica" w:ascii="Helvetica" w:hAnsi="Helvetica"/>
                <w:color w:val="26282A"/>
                <w:kern w:val="0"/>
                <w:sz w:val="26"/>
                <w:szCs w:val="26"/>
                <w:lang w:val="en-US" w:bidi="ar-SA"/>
              </w:rPr>
              <w:t>Documents of successional option. Form and content.</w:t>
            </w:r>
          </w:p>
          <w:p>
            <w:pPr>
              <w:pStyle w:val="Ydpc39d0ba1yiv5602785925msolistparagraph"/>
              <w:widowControl w:val="false"/>
              <w:numPr>
                <w:ilvl w:val="0"/>
                <w:numId w:val="1"/>
              </w:numPr>
              <w:suppressAutoHyphens w:val="true"/>
              <w:spacing w:beforeAutospacing="0" w:before="0" w:afterAutospacing="0" w:after="0"/>
              <w:ind w:left="700" w:right="315" w:hanging="360"/>
              <w:jc w:val="both"/>
              <w:rPr>
                <w:rFonts w:ascii="Helvetica" w:hAnsi="Helvetica" w:eastAsia="Times New Roman" w:cs="Helvetica"/>
                <w:color w:val="26282A"/>
                <w:kern w:val="0"/>
                <w:sz w:val="26"/>
                <w:szCs w:val="26"/>
                <w:lang w:val="en-US" w:bidi="ar-SA"/>
              </w:rPr>
            </w:pPr>
            <w:r>
              <w:rPr>
                <w:rFonts w:eastAsia="Times New Roman" w:cs="Helvetica" w:ascii="Helvetica" w:hAnsi="Helvetica"/>
                <w:color w:val="26282A"/>
                <w:kern w:val="0"/>
                <w:sz w:val="26"/>
                <w:szCs w:val="26"/>
                <w:lang w:val="en-US" w:bidi="ar-SA"/>
              </w:rPr>
              <w:t>International succession taxation, an unregulated issue?</w:t>
            </w:r>
          </w:p>
          <w:p>
            <w:pPr>
              <w:pStyle w:val="Normal"/>
              <w:widowControl w:val="false"/>
              <w:suppressAutoHyphens w:val="true"/>
              <w:spacing w:lineRule="auto" w:line="240" w:before="0" w:after="0"/>
              <w:ind w:left="680" w:right="315" w:hanging="0"/>
              <w:jc w:val="both"/>
              <w:rPr>
                <w:rFonts w:ascii="Arial" w:hAnsi="Arial" w:eastAsia="Times New Roman" w:cs="Arial"/>
                <w:color w:val="26282A"/>
                <w:kern w:val="0"/>
                <w:sz w:val="22"/>
                <w:szCs w:val="22"/>
                <w:lang w:val="en-US" w:eastAsia="en-US" w:bidi="ar-SA"/>
              </w:rPr>
            </w:pPr>
            <w:r>
              <w:rPr>
                <w:rFonts w:eastAsia="Times New Roman" w:cs="Arial" w:ascii="Arial" w:hAnsi="Arial"/>
                <w:color w:val="26282A"/>
                <w:kern w:val="0"/>
                <w:sz w:val="22"/>
                <w:szCs w:val="22"/>
                <w:lang w:val="en-US" w:eastAsia="en-US" w:bidi="ar-SA"/>
              </w:rPr>
            </w:r>
          </w:p>
        </w:tc>
      </w:tr>
      <w:tr>
        <w:trPr/>
        <w:tc>
          <w:tcPr>
            <w:tcW w:w="9062" w:type="dxa"/>
            <w:tcBorders/>
            <w:shd w:color="auto" w:fill="66FF33" w:val="clear"/>
          </w:tcPr>
          <w:p>
            <w:pPr>
              <w:pStyle w:val="ListParagraph"/>
              <w:widowControl w:val="false"/>
              <w:suppressAutoHyphens w:val="true"/>
              <w:spacing w:lineRule="auto" w:line="240" w:before="0" w:after="0"/>
              <w:ind w:left="283" w:hanging="0"/>
              <w:contextualSpacing/>
              <w:jc w:val="center"/>
              <w:rPr>
                <w:rFonts w:ascii="Arial" w:hAnsi="Arial" w:eastAsia="Calibri" w:cs="Arial"/>
                <w:b/>
                <w:b/>
                <w:bCs/>
                <w:kern w:val="0"/>
                <w:sz w:val="26"/>
                <w:szCs w:val="26"/>
                <w:lang w:val="en-US" w:eastAsia="en-US" w:bidi="ar-SA"/>
              </w:rPr>
            </w:pPr>
            <w:r>
              <w:rPr>
                <w:rFonts w:eastAsia="Calibri" w:cs="Arial" w:ascii="Arial" w:hAnsi="Arial"/>
                <w:b/>
                <w:bCs/>
                <w:kern w:val="0"/>
                <w:sz w:val="26"/>
                <w:szCs w:val="26"/>
                <w:lang w:val="en-US" w:eastAsia="en-US" w:bidi="ar-SA"/>
              </w:rPr>
              <w:t>LABOR LAW</w:t>
            </w:r>
          </w:p>
        </w:tc>
      </w:tr>
      <w:tr>
        <w:trPr/>
        <w:tc>
          <w:tcPr>
            <w:tcW w:w="9062" w:type="dxa"/>
            <w:tcBorders/>
            <w:shd w:color="auto" w:fill="auto" w:val="clear"/>
          </w:tcPr>
          <w:p>
            <w:pPr>
              <w:pStyle w:val="ListParagraph"/>
              <w:widowControl w:val="false"/>
              <w:shd w:val="clear" w:color="auto" w:fill="FFFFFF"/>
              <w:suppressAutoHyphens w:val="true"/>
              <w:spacing w:lineRule="auto" w:line="240" w:before="105" w:after="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22"/>
              </w:numPr>
              <w:shd w:val="clear" w:color="auto" w:fill="FFFFFF"/>
              <w:suppressAutoHyphens w:val="true"/>
              <w:spacing w:lineRule="auto" w:line="240" w:before="105"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color w:val="000000"/>
                <w:kern w:val="0"/>
                <w:sz w:val="26"/>
                <w:szCs w:val="26"/>
                <w:lang w:val="en-US" w:eastAsia="en-US" w:bidi="ar-SA"/>
              </w:rPr>
              <w:t>Salary income and other rights deriving from the individual employment contract. Impact on the establishment of the estate.</w:t>
            </w:r>
          </w:p>
          <w:p>
            <w:pPr>
              <w:pStyle w:val="ListParagraph"/>
              <w:widowControl w:val="false"/>
              <w:numPr>
                <w:ilvl w:val="0"/>
                <w:numId w:val="22"/>
              </w:numPr>
              <w:shd w:val="clear" w:color="auto" w:fill="FFFFFF"/>
              <w:suppressAutoHyphens w:val="true"/>
              <w:spacing w:lineRule="auto" w:line="240" w:before="105"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rights due to the heirs under an individual employment contract concluded by the deceased</w:t>
            </w:r>
            <w:r>
              <w:rPr>
                <w:rFonts w:eastAsia="Calibri" w:cs="Arial" w:ascii="Arial" w:hAnsi="Arial"/>
                <w:color w:val="000000"/>
                <w:kern w:val="0"/>
                <w:sz w:val="26"/>
                <w:szCs w:val="26"/>
                <w:lang w:val="en-US" w:eastAsia="en-US" w:bidi="ar-SA"/>
              </w:rPr>
              <w:t>.</w:t>
            </w:r>
          </w:p>
          <w:p>
            <w:pPr>
              <w:pStyle w:val="ListParagraph"/>
              <w:widowControl w:val="false"/>
              <w:numPr>
                <w:ilvl w:val="0"/>
                <w:numId w:val="22"/>
              </w:numPr>
              <w:shd w:val="clear" w:color="auto" w:fill="FFFFFF"/>
              <w:suppressAutoHyphens w:val="true"/>
              <w:spacing w:lineRule="auto" w:line="240" w:before="105"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color w:val="000000"/>
                <w:kern w:val="0"/>
                <w:sz w:val="26"/>
                <w:szCs w:val="26"/>
                <w:lang w:val="en-US" w:eastAsia="en-US" w:bidi="ar-SA"/>
              </w:rPr>
              <w:t>Termination of the employment contract by law in case of termination of the existence of one of the parties. Can employees be transferred to the employer's heir?</w:t>
            </w:r>
          </w:p>
          <w:p>
            <w:pPr>
              <w:pStyle w:val="ListParagraph"/>
              <w:widowControl w:val="false"/>
              <w:numPr>
                <w:ilvl w:val="0"/>
                <w:numId w:val="22"/>
              </w:numPr>
              <w:shd w:val="clear" w:color="auto" w:fill="FFFFFF"/>
              <w:suppressAutoHyphens w:val="true"/>
              <w:spacing w:lineRule="auto" w:line="240" w:before="105"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Some considerations regarding the survivor's pension</w:t>
            </w:r>
          </w:p>
          <w:p>
            <w:pPr>
              <w:pStyle w:val="ListParagraph"/>
              <w:widowControl w:val="false"/>
              <w:numPr>
                <w:ilvl w:val="0"/>
                <w:numId w:val="22"/>
              </w:numPr>
              <w:shd w:val="clear" w:color="auto" w:fill="FFFFFF"/>
              <w:suppressAutoHyphens w:val="true"/>
              <w:spacing w:lineRule="auto" w:line="240" w:before="105" w:after="0"/>
              <w:ind w:left="720" w:right="315" w:hanging="360"/>
              <w:contextualSpacing/>
              <w:jc w:val="both"/>
              <w:rPr>
                <w:rFonts w:ascii="Arial" w:hAnsi="Arial" w:eastAsia="Calibri" w:cs="Arial"/>
                <w:kern w:val="0"/>
                <w:sz w:val="26"/>
                <w:szCs w:val="26"/>
                <w:lang w:val="en-US" w:eastAsia="en-US" w:bidi="ar-SA"/>
              </w:rPr>
            </w:pPr>
            <w:r>
              <w:rPr>
                <w:rFonts w:eastAsia="Calibri" w:cs="Arial" w:ascii="Arial" w:hAnsi="Arial"/>
                <w:color w:val="000000"/>
                <w:kern w:val="0"/>
                <w:sz w:val="26"/>
                <w:szCs w:val="26"/>
                <w:lang w:val="en-US" w:eastAsia="en-US" w:bidi="ar-SA"/>
              </w:rPr>
              <w:t>Specific social security rights recognized in favor of heirs.</w:t>
            </w:r>
          </w:p>
          <w:p>
            <w:pPr>
              <w:pStyle w:val="Normal"/>
              <w:widowControl w:val="false"/>
              <w:shd w:val="clear" w:color="auto" w:fill="FFFFFF"/>
              <w:suppressAutoHyphens w:val="true"/>
              <w:spacing w:lineRule="auto" w:line="240" w:before="105" w:after="0"/>
              <w:jc w:val="both"/>
              <w:rPr>
                <w:rFonts w:ascii="Arial" w:hAnsi="Arial" w:eastAsia="Calibri" w:cs="Arial"/>
                <w:color w:val="222222"/>
                <w:kern w:val="0"/>
                <w:sz w:val="22"/>
                <w:szCs w:val="22"/>
                <w:shd w:fill="FFFFFF" w:val="clear"/>
                <w:lang w:val="en-US" w:eastAsia="en-US" w:bidi="ar-SA"/>
              </w:rPr>
            </w:pPr>
            <w:r>
              <w:rPr>
                <w:rFonts w:eastAsia="Calibri" w:cs="Arial" w:ascii="Arial" w:hAnsi="Arial"/>
                <w:color w:val="222222"/>
                <w:kern w:val="0"/>
                <w:sz w:val="22"/>
                <w:szCs w:val="22"/>
                <w:shd w:fill="FFFFFF" w:val="clear"/>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center"/>
              <w:rPr>
                <w:rFonts w:ascii="Arial" w:hAnsi="Arial" w:eastAsia="Calibri" w:cs="Arial"/>
                <w:b/>
                <w:b/>
                <w:bCs/>
                <w:kern w:val="0"/>
                <w:sz w:val="26"/>
                <w:szCs w:val="26"/>
                <w:lang w:val="en-US" w:eastAsia="ro-RO" w:bidi="ar-SA"/>
              </w:rPr>
            </w:pPr>
            <w:r>
              <w:rPr>
                <w:rFonts w:eastAsia="Calibri" w:cs="Arial" w:ascii="Arial" w:hAnsi="Arial"/>
                <w:b/>
                <w:bCs/>
                <w:kern w:val="0"/>
                <w:sz w:val="26"/>
                <w:szCs w:val="26"/>
                <w:lang w:val="en-US" w:eastAsia="ro-RO" w:bidi="ar-SA"/>
              </w:rPr>
              <w:t>INTELLECTUAL PROPERTY LAW</w:t>
            </w:r>
          </w:p>
        </w:tc>
      </w:tr>
      <w:tr>
        <w:trPr/>
        <w:tc>
          <w:tcPr>
            <w:tcW w:w="9062" w:type="dxa"/>
            <w:tcBorders/>
            <w:shd w:color="auto" w:fill="auto" w:val="clear"/>
          </w:tcPr>
          <w:p>
            <w:pPr>
              <w:pStyle w:val="ListParagraph"/>
              <w:widowControl w:val="false"/>
              <w:shd w:val="clear" w:color="auto" w:fill="FFFFFF"/>
              <w:tabs>
                <w:tab w:val="clear" w:pos="708"/>
                <w:tab w:val="left" w:pos="1363" w:leader="none"/>
              </w:tabs>
              <w:suppressAutoHyphens w:val="true"/>
              <w:spacing w:lineRule="auto" w:line="240" w:before="0" w:after="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23"/>
              </w:numPr>
              <w:shd w:val="clear" w:color="auto" w:fill="FFFFFF"/>
              <w:tabs>
                <w:tab w:val="clear" w:pos="708"/>
                <w:tab w:val="left" w:pos="1363"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Its succession and impact on intellectual property law</w:t>
            </w:r>
          </w:p>
          <w:p>
            <w:pPr>
              <w:pStyle w:val="ListParagraph"/>
              <w:widowControl w:val="false"/>
              <w:numPr>
                <w:ilvl w:val="0"/>
                <w:numId w:val="23"/>
              </w:numPr>
              <w:shd w:val="clear" w:color="auto" w:fill="FFFFFF"/>
              <w:tabs>
                <w:tab w:val="clear" w:pos="708"/>
                <w:tab w:val="left" w:pos="1363" w:leader="none"/>
              </w:tabs>
              <w:suppressAutoHyphens w:val="true"/>
              <w:spacing w:lineRule="auto" w:line="240" w:before="0" w:after="0"/>
              <w:ind w:left="720" w:right="315" w:hanging="360"/>
              <w:contextualSpacing/>
              <w:jc w:val="both"/>
              <w:rPr>
                <w:rFonts w:ascii="Arial" w:hAnsi="Arial" w:eastAsia="Times New Roman" w:cs="Arial"/>
                <w:kern w:val="0"/>
                <w:sz w:val="26"/>
                <w:szCs w:val="26"/>
                <w:lang w:val="en-US" w:eastAsia="ro-RO" w:bidi="ar-SA"/>
              </w:rPr>
            </w:pPr>
            <w:r>
              <w:rPr>
                <w:rFonts w:eastAsia="Times New Roman" w:cs="Arial" w:ascii="Arial" w:hAnsi="Arial"/>
                <w:kern w:val="0"/>
                <w:sz w:val="26"/>
                <w:szCs w:val="26"/>
                <w:lang w:val="en-US" w:eastAsia="ro-RO" w:bidi="ar-SA"/>
              </w:rPr>
              <w:t>Succession of intellectual property rights</w:t>
            </w:r>
          </w:p>
          <w:p>
            <w:pPr>
              <w:pStyle w:val="ListParagraph"/>
              <w:widowControl w:val="false"/>
              <w:numPr>
                <w:ilvl w:val="0"/>
                <w:numId w:val="23"/>
              </w:numPr>
              <w:shd w:val="clear" w:color="auto" w:fill="FFFFFF"/>
              <w:tabs>
                <w:tab w:val="clear" w:pos="708"/>
                <w:tab w:val="left" w:pos="1363" w:leader="none"/>
              </w:tabs>
              <w:suppressAutoHyphens w:val="true"/>
              <w:spacing w:lineRule="auto" w:line="240" w:before="0" w:after="0"/>
              <w:ind w:left="720" w:right="315" w:hanging="360"/>
              <w:contextualSpacing/>
              <w:jc w:val="both"/>
              <w:rPr>
                <w:rFonts w:ascii="Arial" w:hAnsi="Arial" w:cs="Arial"/>
                <w:kern w:val="0"/>
                <w:sz w:val="26"/>
                <w:szCs w:val="26"/>
                <w:lang w:val="en-US" w:eastAsia="en-US" w:bidi="ar-SA"/>
              </w:rPr>
            </w:pPr>
            <w:r>
              <w:rPr>
                <w:rFonts w:eastAsia="Times New Roman" w:cs="Arial" w:ascii="Arial" w:hAnsi="Arial"/>
                <w:kern w:val="0"/>
                <w:sz w:val="26"/>
                <w:szCs w:val="26"/>
                <w:shd w:fill="FFFFFF" w:val="clear"/>
                <w:lang w:val="en-US" w:eastAsia="ro-RO" w:bidi="ar-SA"/>
              </w:rPr>
              <w:t>The limits of the transmission of copyright and related patrimonies born from the creation of a literary, artistic and scientific work.</w:t>
            </w:r>
          </w:p>
          <w:p>
            <w:pPr>
              <w:pStyle w:val="ListParagraph"/>
              <w:widowControl w:val="false"/>
              <w:numPr>
                <w:ilvl w:val="0"/>
                <w:numId w:val="23"/>
              </w:numPr>
              <w:shd w:val="clear" w:color="auto" w:fill="FFFFFF"/>
              <w:tabs>
                <w:tab w:val="clear" w:pos="708"/>
                <w:tab w:val="left" w:pos="1363" w:leader="none"/>
              </w:tabs>
              <w:suppressAutoHyphens w:val="true"/>
              <w:spacing w:lineRule="auto" w:line="240" w:before="0" w:after="0"/>
              <w:ind w:left="720" w:right="315" w:hanging="360"/>
              <w:contextualSpacing/>
              <w:jc w:val="both"/>
              <w:rPr>
                <w:rFonts w:ascii="Arial" w:hAnsi="Arial" w:eastAsia="Calibri" w:cs="Arial"/>
                <w:kern w:val="0"/>
                <w:sz w:val="26"/>
                <w:szCs w:val="26"/>
                <w:shd w:fill="FFFFFF" w:val="clear"/>
                <w:lang w:val="en-US" w:eastAsia="en-US" w:bidi="ar-SA"/>
              </w:rPr>
            </w:pPr>
            <w:r>
              <w:rPr>
                <w:rFonts w:eastAsia="Calibri" w:cs="Arial" w:ascii="Arial" w:hAnsi="Arial"/>
                <w:kern w:val="0"/>
                <w:sz w:val="26"/>
                <w:szCs w:val="26"/>
                <w:shd w:fill="FFFFFF" w:val="clear"/>
                <w:lang w:val="en-US" w:eastAsia="en-US" w:bidi="ar-SA"/>
              </w:rPr>
              <w:t>Evaluation of the intellectual property patrimonial rights when debating the author's succession</w:t>
            </w:r>
          </w:p>
          <w:p>
            <w:pPr>
              <w:pStyle w:val="Normal"/>
              <w:widowControl w:val="false"/>
              <w:suppressAutoHyphens w:val="true"/>
              <w:spacing w:lineRule="auto" w:line="240" w:before="0" w:after="0"/>
              <w:jc w:val="left"/>
              <w:rPr>
                <w:rFonts w:ascii="Arial" w:hAnsi="Arial" w:eastAsia="Calibri" w:cs="Arial"/>
                <w:color w:val="00B0F0"/>
                <w:kern w:val="0"/>
                <w:sz w:val="22"/>
                <w:szCs w:val="22"/>
                <w:lang w:val="en-US" w:eastAsia="en-US" w:bidi="ar-SA"/>
              </w:rPr>
            </w:pPr>
            <w:r>
              <w:rPr>
                <w:rFonts w:eastAsia="Calibri" w:cs="Arial" w:ascii="Arial" w:hAnsi="Arial"/>
                <w:color w:val="00B0F0"/>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left"/>
              <w:rPr>
                <w:kern w:val="0"/>
                <w:lang w:val="en-US" w:eastAsia="ro-RO" w:bidi="ar-SA"/>
              </w:rPr>
            </w:pPr>
            <w:r>
              <w:rPr>
                <w:rFonts w:cs="Arial" w:ascii="Arial" w:hAnsi="Arial"/>
                <w:b/>
                <w:bCs/>
                <w:kern w:val="0"/>
                <w:sz w:val="26"/>
                <w:szCs w:val="26"/>
                <w:lang w:val="en-US" w:eastAsia="ro-RO" w:bidi="ar-SA"/>
              </w:rPr>
              <w:t xml:space="preserve">                                  </w:t>
            </w:r>
            <w:r>
              <w:rPr>
                <w:rFonts w:cs="Arial" w:ascii="Arial" w:hAnsi="Arial"/>
                <w:b/>
                <w:bCs/>
                <w:kern w:val="0"/>
                <w:sz w:val="26"/>
                <w:szCs w:val="26"/>
                <w:lang w:val="en-US" w:eastAsia="ro-RO" w:bidi="ar-SA"/>
              </w:rPr>
              <w:t>INSURANCE LAW</w:t>
            </w:r>
          </w:p>
        </w:tc>
      </w:tr>
      <w:tr>
        <w:trPr/>
        <w:tc>
          <w:tcPr>
            <w:tcW w:w="9062" w:type="dxa"/>
            <w:tcBorders/>
            <w:shd w:color="auto" w:fill="auto" w:val="clear"/>
          </w:tcPr>
          <w:p>
            <w:pPr>
              <w:pStyle w:val="ListParagraph"/>
              <w:widowControl w:val="false"/>
              <w:shd w:val="clear" w:color="auto" w:fill="FFFFFF"/>
              <w:tabs>
                <w:tab w:val="clear" w:pos="708"/>
                <w:tab w:val="left" w:pos="1363" w:leader="none"/>
              </w:tabs>
              <w:suppressAutoHyphens w:val="true"/>
              <w:spacing w:lineRule="auto" w:line="240" w:before="0" w:after="0"/>
              <w:ind w:left="720" w:right="457" w:hanging="0"/>
              <w:contextualSpacing/>
              <w:jc w:val="both"/>
              <w:rPr>
                <w:rFonts w:ascii="Arial" w:hAnsi="Arial" w:eastAsia="Times New Roman" w:cs="Arial"/>
                <w:kern w:val="0"/>
                <w:sz w:val="22"/>
                <w:szCs w:val="22"/>
                <w:lang w:val="en-US" w:eastAsia="en-US" w:bidi="ar-SA"/>
              </w:rPr>
            </w:pPr>
            <w:r>
              <w:rPr>
                <w:rFonts w:eastAsia="Times New Roman" w:cs="Arial" w:ascii="Arial" w:hAnsi="Arial"/>
                <w:kern w:val="0"/>
                <w:sz w:val="22"/>
                <w:szCs w:val="22"/>
                <w:lang w:val="en-US" w:eastAsia="en-US" w:bidi="ar-SA"/>
              </w:rPr>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Insurance indemnity. Incidents in the collection of the indemnity by the heirs.</w:t>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Suicide - the cause of exoneration, respectively of liability of the insurer towards the heirs.</w:t>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Co-insurance in the event of the death of an insured person through a car accident.</w:t>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The rights of the legal heirs in case of death of the insured.</w:t>
              <w:br/>
              <w:t xml:space="preserve">The bequest of the insurance indemnity. </w:t>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Premises and incidents during the execution of the insurance policy.</w:t>
            </w:r>
          </w:p>
          <w:p>
            <w:pPr>
              <w:pStyle w:val="ListParagraph"/>
              <w:widowControl w:val="false"/>
              <w:numPr>
                <w:ilvl w:val="0"/>
                <w:numId w:val="24"/>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color w:val="000000"/>
                <w:kern w:val="0"/>
                <w:sz w:val="26"/>
                <w:szCs w:val="26"/>
                <w:lang w:val="en-US" w:eastAsia="en-US" w:bidi="ar-SA"/>
              </w:rPr>
            </w:pPr>
            <w:r>
              <w:rPr>
                <w:rFonts w:eastAsia="Calibri" w:cs="Arial" w:ascii="Arial" w:hAnsi="Arial"/>
                <w:color w:val="000000" w:themeColor="text1"/>
                <w:kern w:val="0"/>
                <w:sz w:val="26"/>
                <w:szCs w:val="26"/>
                <w:shd w:fill="FFFFFF" w:val="clear"/>
                <w:lang w:val="en-US" w:eastAsia="en-US" w:bidi="ar-SA"/>
              </w:rPr>
              <w:t>Street Victims Protection Fund (FPVS). Procedures for accessing the indemnity by the victim's heirs.</w:t>
            </w:r>
          </w:p>
          <w:p>
            <w:pPr>
              <w:pStyle w:val="Normal"/>
              <w:widowControl w:val="false"/>
              <w:suppressAutoHyphens w:val="true"/>
              <w:spacing w:lineRule="auto" w:line="240" w:before="0" w:after="0"/>
              <w:jc w:val="left"/>
              <w:rPr>
                <w:rFonts w:ascii="Arial" w:hAnsi="Arial" w:eastAsia="Calibri" w:cs="Arial"/>
                <w:b/>
                <w:b/>
                <w:bCs/>
                <w:kern w:val="0"/>
                <w:sz w:val="22"/>
                <w:szCs w:val="22"/>
                <w:lang w:val="en-US" w:eastAsia="en-US" w:bidi="ar-SA"/>
              </w:rPr>
            </w:pPr>
            <w:r>
              <w:rPr>
                <w:rFonts w:eastAsia="Calibri" w:cs="Arial" w:ascii="Arial" w:hAnsi="Arial"/>
                <w:b/>
                <w:bCs/>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left"/>
              <w:rPr>
                <w:rFonts w:eastAsia="Calibri"/>
                <w:kern w:val="0"/>
                <w:lang w:val="en-US" w:eastAsia="ro-RO" w:bidi="ar-SA"/>
              </w:rPr>
            </w:pPr>
            <w:r>
              <w:rPr>
                <w:rFonts w:eastAsia="Calibri" w:cs="Arial" w:ascii="Arial" w:hAnsi="Arial"/>
                <w:b/>
                <w:bCs/>
                <w:kern w:val="0"/>
                <w:sz w:val="26"/>
                <w:szCs w:val="26"/>
                <w:lang w:val="en-US" w:eastAsia="ro-RO" w:bidi="ar-SA"/>
              </w:rPr>
              <w:t xml:space="preserve">                                  </w:t>
            </w:r>
            <w:r>
              <w:rPr>
                <w:rFonts w:eastAsia="Calibri" w:cs="Arial" w:ascii="Arial" w:hAnsi="Arial"/>
                <w:b/>
                <w:bCs/>
                <w:kern w:val="0"/>
                <w:sz w:val="26"/>
                <w:szCs w:val="26"/>
                <w:lang w:val="en-US" w:eastAsia="ro-RO" w:bidi="ar-SA"/>
              </w:rPr>
              <w:t>ENVIRONMENTAL LAW</w:t>
            </w:r>
          </w:p>
        </w:tc>
      </w:tr>
      <w:tr>
        <w:trPr/>
        <w:tc>
          <w:tcPr>
            <w:tcW w:w="9062" w:type="dxa"/>
            <w:tcBorders/>
            <w:shd w:color="auto" w:fill="auto" w:val="clear"/>
          </w:tcPr>
          <w:p>
            <w:pPr>
              <w:pStyle w:val="ListParagraph"/>
              <w:widowControl w:val="false"/>
              <w:shd w:val="clear" w:color="auto" w:fill="FFFFFF"/>
              <w:tabs>
                <w:tab w:val="clear" w:pos="708"/>
                <w:tab w:val="left" w:pos="1363" w:leader="none"/>
              </w:tabs>
              <w:suppressAutoHyphens w:val="true"/>
              <w:spacing w:lineRule="auto" w:line="240" w:before="0" w:after="0"/>
              <w:ind w:left="720" w:right="457"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right to inherit a healthy and ecologically balanced environment.</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cultural heritage of the environment and the characteristic aspects of the landscape.</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Succession liability for breaching the limits of protection and conservation of the aquatic environment.</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Succession reserve of environmental heritage.</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Environmental succession policy for damage resulting from poor management of radioactive waste at EU level.</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phenomenon of climate change in the field of succession of future generations.</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legal will to protect the environment generating effects inter vivos and mortis causa.</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Ecological succession as a process of ecosystem development and the importance of changes that occur during the succession.</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General aspects of European environmental succession systems.</w:t>
            </w:r>
          </w:p>
          <w:p>
            <w:pPr>
              <w:pStyle w:val="ListParagraph"/>
              <w:widowControl w:val="false"/>
              <w:numPr>
                <w:ilvl w:val="1"/>
                <w:numId w:val="26"/>
              </w:numPr>
              <w:shd w:val="clear" w:color="auto" w:fill="FFFFFF"/>
              <w:tabs>
                <w:tab w:val="clear" w:pos="708"/>
                <w:tab w:val="left" w:pos="1363" w:leader="none"/>
              </w:tabs>
              <w:suppressAutoHyphens w:val="true"/>
              <w:spacing w:lineRule="auto" w:line="240" w:before="0" w:after="0"/>
              <w:ind w:left="720" w:right="457" w:hanging="36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The principle of unity in the transmission of environmental heritage at European level.</w:t>
            </w:r>
          </w:p>
          <w:p>
            <w:pPr>
              <w:pStyle w:val="Normal"/>
              <w:widowControl w:val="false"/>
              <w:suppressAutoHyphens w:val="true"/>
              <w:spacing w:lineRule="auto" w:line="240" w:before="0" w:after="0"/>
              <w:jc w:val="left"/>
              <w:rPr>
                <w:rFonts w:ascii="Arial" w:hAnsi="Arial" w:eastAsia="Calibri" w:cs="Arial"/>
                <w:b/>
                <w:b/>
                <w:bCs/>
                <w:kern w:val="0"/>
                <w:sz w:val="22"/>
                <w:szCs w:val="22"/>
                <w:lang w:val="en-US" w:eastAsia="en-US" w:bidi="ar-SA"/>
              </w:rPr>
            </w:pPr>
            <w:r>
              <w:rPr>
                <w:rFonts w:eastAsia="Calibri" w:cs="Arial" w:ascii="Arial" w:hAnsi="Arial"/>
                <w:b/>
                <w:bCs/>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left"/>
              <w:rPr>
                <w:rFonts w:eastAsia="Calibri"/>
                <w:kern w:val="0"/>
                <w:lang w:val="en-US" w:bidi="ar-SA"/>
              </w:rPr>
            </w:pPr>
            <w:r>
              <w:rPr>
                <w:rFonts w:eastAsia="Calibri" w:cs="Arial" w:ascii="Arial" w:hAnsi="Arial"/>
                <w:b/>
                <w:bCs/>
                <w:kern w:val="0"/>
                <w:sz w:val="26"/>
                <w:szCs w:val="26"/>
                <w:lang w:val="en-US" w:eastAsia="ro-RO" w:bidi="ar-SA"/>
              </w:rPr>
              <w:t xml:space="preserve">                                              </w:t>
            </w:r>
            <w:r>
              <w:rPr>
                <w:rFonts w:eastAsia="Calibri" w:cs="Arial" w:ascii="Arial" w:hAnsi="Arial"/>
                <w:b/>
                <w:bCs/>
                <w:kern w:val="0"/>
                <w:sz w:val="26"/>
                <w:szCs w:val="26"/>
                <w:lang w:val="en-US" w:eastAsia="ro-RO" w:bidi="ar-SA"/>
              </w:rPr>
              <w:t>FORENSIC LAW</w:t>
            </w:r>
          </w:p>
        </w:tc>
      </w:tr>
      <w:tr>
        <w:trPr/>
        <w:tc>
          <w:tcPr>
            <w:tcW w:w="9062" w:type="dxa"/>
            <w:tcBorders/>
            <w:shd w:color="auto" w:fill="auto" w:val="clear"/>
          </w:tcPr>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Methodology for investigating crimes related to archival fraud committed in order to reduce inheritance rights</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Peculiarities of the forensic investigation of the fires that lead to the destruction of some documents that substantiate the succession claims</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Methodological elements for investigating computer crimes with an impact on the succession procedure</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Peculiarities of the forensic investigation of the unregistered weapons found during the succession inventory.</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 xml:space="preserve"> </w:t>
            </w:r>
            <w:r>
              <w:rPr>
                <w:rFonts w:eastAsia="Calibri" w:cs="Arial" w:ascii="Arial" w:hAnsi="Arial"/>
                <w:kern w:val="0"/>
                <w:sz w:val="26"/>
                <w:szCs w:val="26"/>
                <w:lang w:val="en-US" w:eastAsia="en-US" w:bidi="ar-SA"/>
              </w:rPr>
              <w:t>Judicial genetics and its implications for succession</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Judicial expertise in the succession procedure</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Forensic expertise of the handwriting and signature and the legal effects of the specialized report on the succession procedure</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Modern techniques for identifying people and their impact on opening the succession</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Tactical features of investigating crimes in the field of succession proceedings against minors</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Forensic tactical rules and procedures applied in the hearing of the suspect or defendant in the succession proceedings.</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ascii="Arial" w:hAnsi="Arial" w:eastAsia="Calibri" w:cs="Arial"/>
                <w:kern w:val="0"/>
                <w:sz w:val="26"/>
                <w:szCs w:val="26"/>
                <w:lang w:val="en-US" w:eastAsia="en-US" w:bidi="ar-SA"/>
              </w:rPr>
            </w:pPr>
            <w:r>
              <w:rPr>
                <w:rFonts w:eastAsia="Calibri" w:cs="Arial" w:ascii="Arial" w:hAnsi="Arial"/>
                <w:kern w:val="0"/>
                <w:sz w:val="26"/>
                <w:szCs w:val="26"/>
                <w:lang w:val="en-US" w:eastAsia="en-US" w:bidi="ar-SA"/>
              </w:rPr>
              <w:t>Forensic methods for identifying false or counterfeit bequests</w:t>
            </w:r>
          </w:p>
          <w:p>
            <w:pPr>
              <w:pStyle w:val="ListParagraph"/>
              <w:widowControl w:val="false"/>
              <w:numPr>
                <w:ilvl w:val="2"/>
                <w:numId w:val="27"/>
              </w:numPr>
              <w:shd w:val="clear" w:color="auto" w:fill="FFFFFF"/>
              <w:tabs>
                <w:tab w:val="clear" w:pos="708"/>
                <w:tab w:val="left" w:pos="1363" w:leader="none"/>
              </w:tabs>
              <w:suppressAutoHyphens w:val="true"/>
              <w:spacing w:lineRule="auto" w:line="240" w:before="0" w:after="0"/>
              <w:ind w:left="577" w:right="457" w:hanging="180"/>
              <w:contextualSpacing/>
              <w:jc w:val="both"/>
              <w:rPr>
                <w:rFonts w:eastAsia="Calibri"/>
                <w:kern w:val="0"/>
                <w:lang w:val="en-US" w:eastAsia="en-US" w:bidi="ar-SA"/>
              </w:rPr>
            </w:pPr>
            <w:r>
              <w:rPr>
                <w:rFonts w:eastAsia="Calibri" w:cs="Arial" w:ascii="Arial" w:hAnsi="Arial"/>
                <w:kern w:val="0"/>
                <w:sz w:val="26"/>
                <w:szCs w:val="26"/>
                <w:lang w:val="en-US" w:eastAsia="en-US" w:bidi="ar-SA"/>
              </w:rPr>
              <w:t>Bequest on genetic material / organs. Methodology for investigating the crime of trafficking in genetic material / organs</w:t>
            </w:r>
          </w:p>
          <w:p>
            <w:pPr>
              <w:pStyle w:val="ListParagraph"/>
              <w:widowControl w:val="false"/>
              <w:shd w:val="clear" w:color="auto" w:fill="FFFFFF"/>
              <w:tabs>
                <w:tab w:val="clear" w:pos="708"/>
                <w:tab w:val="left" w:pos="1363" w:leader="none"/>
              </w:tabs>
              <w:suppressAutoHyphens w:val="true"/>
              <w:spacing w:lineRule="auto" w:line="240" w:before="0" w:after="0"/>
              <w:ind w:left="720" w:right="457" w:hanging="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tc>
      </w:tr>
      <w:tr>
        <w:trPr/>
        <w:tc>
          <w:tcPr>
            <w:tcW w:w="9062" w:type="dxa"/>
            <w:tcBorders/>
            <w:shd w:color="auto" w:fill="66FF33" w:val="clear"/>
          </w:tcPr>
          <w:p>
            <w:pPr>
              <w:pStyle w:val="Normal"/>
              <w:widowControl w:val="false"/>
              <w:suppressAutoHyphens w:val="true"/>
              <w:spacing w:lineRule="auto" w:line="240" w:before="0" w:after="0"/>
              <w:jc w:val="center"/>
              <w:rPr>
                <w:rFonts w:ascii="Calibri" w:hAnsi="Calibri" w:eastAsia="Calibri" w:cs=""/>
                <w:b/>
                <w:b/>
                <w:bCs/>
                <w:kern w:val="0"/>
                <w:sz w:val="28"/>
                <w:szCs w:val="28"/>
                <w:lang w:val="en-US" w:eastAsia="en-US" w:bidi="ar-SA"/>
              </w:rPr>
            </w:pPr>
            <w:r>
              <w:rPr>
                <w:rFonts w:eastAsia="Calibri" w:cs=""/>
                <w:b/>
                <w:bCs/>
                <w:kern w:val="0"/>
                <w:sz w:val="28"/>
                <w:szCs w:val="28"/>
                <w:lang w:val="en-US" w:eastAsia="en-US" w:bidi="ar-SA"/>
              </w:rPr>
              <w:t>TRANSPORT LAW</w:t>
            </w:r>
          </w:p>
        </w:tc>
      </w:tr>
      <w:tr>
        <w:trPr/>
        <w:tc>
          <w:tcPr>
            <w:tcW w:w="9062" w:type="dxa"/>
            <w:tcBorders/>
            <w:shd w:color="auto" w:fill="auto" w:val="clear"/>
          </w:tcPr>
          <w:p>
            <w:pPr>
              <w:pStyle w:val="ListParagraph"/>
              <w:widowControl w:val="false"/>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2"/>
                <w:szCs w:val="22"/>
                <w:lang w:val="en-US" w:eastAsia="en-US" w:bidi="ar-SA"/>
              </w:rPr>
            </w:pPr>
            <w:r>
              <w:rPr>
                <w:rFonts w:eastAsia="Calibri" w:cs="Arial" w:ascii="Arial" w:hAnsi="Arial"/>
                <w:kern w:val="0"/>
                <w:sz w:val="22"/>
                <w:szCs w:val="22"/>
                <w:lang w:val="en-US" w:eastAsia="en-US" w:bidi="ar-SA"/>
              </w:rPr>
            </w:r>
          </w:p>
          <w:p>
            <w:pPr>
              <w:pStyle w:val="ListParagraph"/>
              <w:widowControl w:val="false"/>
              <w:numPr>
                <w:ilvl w:val="0"/>
                <w:numId w:val="25"/>
              </w:numPr>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6"/>
                <w:szCs w:val="26"/>
                <w:lang w:val="en-US" w:eastAsia="en-US" w:bidi="ar-SA"/>
              </w:rPr>
            </w:pPr>
            <w:r>
              <w:rPr>
                <w:rFonts w:eastAsia="Times New Roman" w:cs="Arial" w:ascii="Arial" w:hAnsi="Arial"/>
                <w:kern w:val="0"/>
                <w:sz w:val="26"/>
                <w:szCs w:val="26"/>
                <w:lang w:val="en-US" w:eastAsia="en-US" w:bidi="ar-SA"/>
              </w:rPr>
              <w:t>Passenger transport. Legal regime of transport authorizations and licenses in case of transfer of assets due to death.</w:t>
            </w:r>
          </w:p>
          <w:p>
            <w:pPr>
              <w:pStyle w:val="ListParagraph"/>
              <w:widowControl w:val="false"/>
              <w:numPr>
                <w:ilvl w:val="0"/>
                <w:numId w:val="25"/>
              </w:numPr>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6"/>
                <w:szCs w:val="26"/>
                <w:lang w:val="en-US" w:eastAsia="en-US" w:bidi="ar-SA"/>
              </w:rPr>
            </w:pPr>
            <w:r>
              <w:rPr>
                <w:rFonts w:eastAsia="Times New Roman" w:cs="Arial" w:ascii="Arial" w:hAnsi="Arial"/>
                <w:kern w:val="0"/>
                <w:sz w:val="26"/>
                <w:szCs w:val="26"/>
                <w:lang w:val="en-US" w:eastAsia="en-US" w:bidi="ar-SA"/>
              </w:rPr>
              <w:t>Legal status of means of transport in matters of succession.</w:t>
            </w:r>
          </w:p>
          <w:p>
            <w:pPr>
              <w:pStyle w:val="ListParagraph"/>
              <w:widowControl w:val="false"/>
              <w:numPr>
                <w:ilvl w:val="0"/>
                <w:numId w:val="25"/>
              </w:numPr>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6"/>
                <w:szCs w:val="26"/>
                <w:lang w:val="en-US" w:eastAsia="en-US" w:bidi="ar-SA"/>
              </w:rPr>
            </w:pPr>
            <w:r>
              <w:rPr>
                <w:rFonts w:eastAsia="Times New Roman" w:cs="Arial" w:ascii="Arial" w:hAnsi="Arial"/>
                <w:kern w:val="0"/>
                <w:sz w:val="26"/>
                <w:szCs w:val="26"/>
                <w:lang w:val="en-US" w:eastAsia="en-US" w:bidi="ar-SA"/>
              </w:rPr>
              <w:t>Transfer of goodwill by road transport by legal or testamentary inheritance.</w:t>
            </w:r>
          </w:p>
          <w:p>
            <w:pPr>
              <w:pStyle w:val="ListParagraph"/>
              <w:widowControl w:val="false"/>
              <w:numPr>
                <w:ilvl w:val="0"/>
                <w:numId w:val="25"/>
              </w:numPr>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6"/>
                <w:szCs w:val="26"/>
                <w:lang w:val="en-US" w:eastAsia="en-US" w:bidi="ar-SA"/>
              </w:rPr>
            </w:pPr>
            <w:r>
              <w:rPr>
                <w:rFonts w:eastAsia="Times New Roman" w:cs="Arial" w:ascii="Arial" w:hAnsi="Arial"/>
                <w:kern w:val="0"/>
                <w:sz w:val="26"/>
                <w:szCs w:val="26"/>
                <w:lang w:val="en-US" w:eastAsia="en-US" w:bidi="ar-SA"/>
              </w:rPr>
              <w:t>Transfer of shares / parts of interest by legal or testamentary inheritance in the case of carriers of persons.</w:t>
            </w:r>
          </w:p>
          <w:p>
            <w:pPr>
              <w:pStyle w:val="ListParagraph"/>
              <w:widowControl w:val="false"/>
              <w:numPr>
                <w:ilvl w:val="0"/>
                <w:numId w:val="25"/>
              </w:numPr>
              <w:shd w:val="clear" w:color="auto" w:fill="FFFFFF"/>
              <w:tabs>
                <w:tab w:val="clear" w:pos="708"/>
                <w:tab w:val="left" w:pos="1363" w:leader="none"/>
              </w:tabs>
              <w:suppressAutoHyphens w:val="true"/>
              <w:spacing w:lineRule="auto" w:line="240" w:before="0" w:after="0"/>
              <w:contextualSpacing/>
              <w:jc w:val="both"/>
              <w:rPr>
                <w:rFonts w:ascii="Arial" w:hAnsi="Arial" w:eastAsia="Calibri" w:cs="Arial"/>
                <w:kern w:val="0"/>
                <w:sz w:val="26"/>
                <w:szCs w:val="26"/>
                <w:lang w:val="en-US" w:eastAsia="en-US" w:bidi="ar-SA"/>
              </w:rPr>
            </w:pPr>
            <w:r>
              <w:rPr>
                <w:rFonts w:eastAsia="Times New Roman" w:cs="Arial" w:ascii="Arial" w:hAnsi="Arial"/>
                <w:kern w:val="0"/>
                <w:sz w:val="26"/>
                <w:szCs w:val="26"/>
                <w:lang w:val="en-US" w:eastAsia="en-US" w:bidi="ar-SA"/>
              </w:rPr>
              <w:t>Transmission of the patrimony of affectation on the goodwill of the road transport of the natural person trader by legal or testamentary inheritance.</w:t>
            </w:r>
          </w:p>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sz w:val="26"/>
          <w:szCs w:val="26"/>
          <w:lang w:val="en-US"/>
        </w:rPr>
      </w:pPr>
      <w:r>
        <w:rPr>
          <w:sz w:val="26"/>
          <w:szCs w:val="26"/>
          <w:lang w:val="en-US"/>
        </w:rPr>
      </w:r>
    </w:p>
    <w:p>
      <w:pPr>
        <w:pStyle w:val="Normal"/>
        <w:spacing w:lineRule="auto" w:line="240" w:before="0" w:after="0"/>
        <w:ind w:left="397" w:hanging="0"/>
        <w:rPr>
          <w:rFonts w:ascii="Arial" w:hAnsi="Arial" w:cs="Arial"/>
          <w:b/>
          <w:b/>
          <w:bCs/>
          <w:sz w:val="26"/>
          <w:szCs w:val="26"/>
          <w:lang w:val="en-US"/>
        </w:rPr>
      </w:pPr>
      <w:r>
        <w:rPr>
          <w:rFonts w:cs="Arial" w:ascii="Arial" w:hAnsi="Arial"/>
          <w:b/>
          <w:bCs/>
          <w:sz w:val="26"/>
          <w:szCs w:val="26"/>
          <w:lang w:val="en-US"/>
        </w:rPr>
      </w:r>
    </w:p>
    <w:p>
      <w:pPr>
        <w:pStyle w:val="Normal"/>
        <w:ind w:left="397" w:hanging="0"/>
        <w:rPr>
          <w:lang w:val="en-US"/>
        </w:rPr>
      </w:pPr>
      <w:r>
        <w:rPr>
          <w:lang w:val="en-US"/>
        </w:rPr>
      </w:r>
    </w:p>
    <w:p>
      <w:pPr>
        <w:pStyle w:val="Normal"/>
        <w:spacing w:before="0" w:after="160"/>
        <w:ind w:left="397" w:hanging="0"/>
        <w:rPr>
          <w:lang w:val="en-US"/>
        </w:rPr>
      </w:pPr>
      <w:r>
        <w:rPr/>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FFFFFF"/>
      <w:spacing w:lineRule="auto" w:line="276" w:before="0" w:after="0"/>
      <w:jc w:val="center"/>
      <w:rPr>
        <w:rFonts w:eastAsia="Times New Roman" w:cs="Calibri" w:cstheme="minorHAnsi"/>
        <w:b/>
        <w:b/>
        <w:bCs/>
        <w:sz w:val="24"/>
        <w:szCs w:val="24"/>
        <w:lang w:eastAsia="ro-RO"/>
      </w:rPr>
    </w:pPr>
    <w:r>
      <w:rPr>
        <w:rFonts w:cs="Calibri" w:cstheme="minorHAnsi"/>
        <w:i/>
        <w:sz w:val="24"/>
        <w:szCs w:val="24"/>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720"/>
        </w:tabs>
        <w:ind w:left="720" w:hanging="360"/>
      </w:pPr>
      <w:rPr>
        <w:b/>
        <w:bCs/>
      </w:rPr>
    </w:lvl>
    <w:lvl w:ilvl="1">
      <w:start w:val="1"/>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0"/>
        </w:tabs>
        <w:ind w:left="1117" w:hanging="360"/>
      </w:pPr>
      <w:rPr>
        <w:b/>
        <w:bCs/>
      </w:r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13">
    <w:lvl w:ilvl="0">
      <w:start w:val="1"/>
      <w:numFmt w:val="decimal"/>
      <w:lvlText w:val="%1."/>
      <w:lvlJc w:val="left"/>
      <w:pPr>
        <w:tabs>
          <w:tab w:val="num" w:pos="0"/>
        </w:tabs>
        <w:ind w:left="1117" w:hanging="360"/>
      </w:pPr>
      <w:rPr>
        <w:b/>
        <w:bCs/>
      </w:r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14">
    <w:lvl w:ilvl="0">
      <w:start w:val="1"/>
      <w:numFmt w:val="decimal"/>
      <w:lvlText w:val="%1."/>
      <w:lvlJc w:val="left"/>
      <w:pPr>
        <w:tabs>
          <w:tab w:val="num" w:pos="0"/>
        </w:tabs>
        <w:ind w:left="1060" w:hanging="360"/>
      </w:pPr>
      <w:rPr>
        <w:b/>
        <w:bCs/>
      </w:r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5">
    <w:lvl w:ilvl="0">
      <w:start w:val="1"/>
      <w:numFmt w:val="decimal"/>
      <w:lvlText w:val="%1."/>
      <w:lvlJc w:val="left"/>
      <w:pPr>
        <w:tabs>
          <w:tab w:val="num" w:pos="0"/>
        </w:tabs>
        <w:ind w:left="833" w:hanging="360"/>
      </w:pPr>
      <w:rPr>
        <w:b/>
        <w:bCs/>
      </w:r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6">
    <w:lvl w:ilvl="0">
      <w:start w:val="1"/>
      <w:numFmt w:val="decimal"/>
      <w:lvlText w:val="%1."/>
      <w:lvlJc w:val="left"/>
      <w:pPr>
        <w:tabs>
          <w:tab w:val="num" w:pos="0"/>
        </w:tabs>
        <w:ind w:left="792" w:hanging="360"/>
      </w:pPr>
      <w:rPr>
        <w:b/>
        <w:bCs/>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7">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720"/>
        </w:tabs>
        <w:ind w:left="720" w:hanging="360"/>
      </w:pPr>
      <w:rPr>
        <w:b/>
        <w:bCs/>
      </w:rPr>
    </w:lvl>
    <w:lvl w:ilvl="1">
      <w:start w:val="1"/>
      <w:numFmt w:val="decimal"/>
      <w:lvlText w:val="%2."/>
      <w:lvlJc w:val="left"/>
      <w:pPr>
        <w:tabs>
          <w:tab w:val="num" w:pos="0"/>
        </w:tabs>
        <w:ind w:left="1440" w:hanging="360"/>
      </w:pPr>
      <w:rPr>
        <w:b/>
        <w:bCs/>
      </w:rPr>
    </w:lvl>
    <w:lvl w:ilvl="2">
      <w:start w:val="1"/>
      <w:numFmt w:val="decimal"/>
      <w:lvlText w:val="%3."/>
      <w:lvlJc w:val="left"/>
      <w:pPr>
        <w:tabs>
          <w:tab w:val="num" w:pos="0"/>
        </w:tabs>
        <w:ind w:left="2160" w:hanging="360"/>
      </w:pPr>
      <w:rPr>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0"/>
        </w:tabs>
        <w:ind w:left="720" w:hanging="360"/>
      </w:pPr>
      <w:rPr>
        <w:b/>
        <w:bCs/>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b/>
        <w:bCs/>
        <w:rFonts w:ascii="Calibri" w:hAnsi="Calibri" w:eastAsia="Calibri" w:cs="" w:asciiTheme="minorHAnsi" w:cstheme="minorBidi" w:eastAsiaTheme="minorHAnsi" w:hAnsiTheme="minorHAns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7d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ce77d9"/>
    <w:rPr>
      <w:i/>
      <w:iCs/>
    </w:rPr>
  </w:style>
  <w:style w:type="character" w:styleId="AntetCaracter" w:customStyle="1">
    <w:name w:val="Antet Caracter"/>
    <w:basedOn w:val="DefaultParagraphFont"/>
    <w:link w:val="Antet"/>
    <w:uiPriority w:val="99"/>
    <w:qFormat/>
    <w:rsid w:val="00b24f43"/>
    <w:rPr/>
  </w:style>
  <w:style w:type="character" w:styleId="SubsolCaracter" w:customStyle="1">
    <w:name w:val="Subsol Caracter"/>
    <w:basedOn w:val="DefaultParagraphFont"/>
    <w:link w:val="Subsol"/>
    <w:uiPriority w:val="99"/>
    <w:qFormat/>
    <w:rsid w:val="00b24f4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ce77d9"/>
    <w:pPr>
      <w:spacing w:lineRule="auto" w:line="276" w:before="0" w:after="200"/>
      <w:ind w:left="720" w:hanging="0"/>
      <w:contextualSpacing/>
    </w:pPr>
    <w:rPr/>
  </w:style>
  <w:style w:type="paragraph" w:styleId="Ydp87fa821yiv1988364466ydpd04be8aemsonormal" w:customStyle="1">
    <w:name w:val="ydp87fa821yiv1988364466ydpd04be8aemsonormal"/>
    <w:basedOn w:val="Normal"/>
    <w:qFormat/>
    <w:rsid w:val="00ce77d9"/>
    <w:pPr>
      <w:spacing w:lineRule="auto" w:line="240" w:beforeAutospacing="1" w:afterAutospacing="1"/>
    </w:pPr>
    <w:rPr>
      <w:rFonts w:ascii="Calibri" w:hAnsi="Calibri" w:eastAsia="" w:cs="Calibri" w:eastAsiaTheme="minorEastAsia"/>
      <w:lang w:eastAsia="ro-RO"/>
    </w:rPr>
  </w:style>
  <w:style w:type="paragraph" w:styleId="Ydp87fa821yiv1988364466ydpd04be8aemsolistparagraph" w:customStyle="1">
    <w:name w:val="ydp87fa821yiv1988364466ydpd04be8aemsolistparagraph"/>
    <w:basedOn w:val="Normal"/>
    <w:qFormat/>
    <w:rsid w:val="00ce77d9"/>
    <w:pPr>
      <w:spacing w:lineRule="auto" w:line="240" w:beforeAutospacing="1" w:afterAutospacing="1"/>
    </w:pPr>
    <w:rPr>
      <w:rFonts w:ascii="Calibri" w:hAnsi="Calibri" w:eastAsia="" w:cs="Calibri" w:eastAsiaTheme="minorEastAsia"/>
      <w:lang w:eastAsia="ro-RO"/>
    </w:rPr>
  </w:style>
  <w:style w:type="paragraph" w:styleId="Ydp95b44438yiv9439068767ydp8faa8f6dmsolistparagraph" w:customStyle="1">
    <w:name w:val="ydp95b44438yiv9439068767ydp8faa8f6dmsolistparagraph"/>
    <w:basedOn w:val="Normal"/>
    <w:qFormat/>
    <w:rsid w:val="00ce77d9"/>
    <w:pPr>
      <w:spacing w:lineRule="auto" w:line="240" w:beforeAutospacing="1" w:afterAutospacing="1"/>
    </w:pPr>
    <w:rPr>
      <w:rFonts w:ascii="Calibri" w:hAnsi="Calibri" w:eastAsia="" w:cs="Calibri" w:eastAsiaTheme="minorEastAsia"/>
      <w:lang w:eastAsia="ro-RO"/>
    </w:rPr>
  </w:style>
  <w:style w:type="paragraph" w:styleId="Xydp5d1a9d63msolistparagraph" w:customStyle="1">
    <w:name w:val="x_ydp5d1a9d63msolistparagraph"/>
    <w:basedOn w:val="Normal"/>
    <w:qFormat/>
    <w:rsid w:val="00ce77d9"/>
    <w:pPr>
      <w:spacing w:lineRule="auto" w:line="240" w:beforeAutospacing="1" w:afterAutospacing="1"/>
    </w:pPr>
    <w:rPr>
      <w:rFonts w:ascii="Times New Roman" w:hAnsi="Times New Roman" w:eastAsia="Times New Roman" w:cs="Times New Roman"/>
      <w:sz w:val="24"/>
      <w:szCs w:val="24"/>
      <w:lang w:val="en-US"/>
    </w:rPr>
  </w:style>
  <w:style w:type="paragraph" w:styleId="Ydp554ae61fyiv9774242384msonormal" w:customStyle="1">
    <w:name w:val="ydp554ae61fyiv9774242384msonormal"/>
    <w:basedOn w:val="Normal"/>
    <w:qFormat/>
    <w:rsid w:val="00ce77d9"/>
    <w:pPr>
      <w:spacing w:lineRule="auto" w:line="240" w:beforeAutospacing="1" w:afterAutospacing="1"/>
    </w:pPr>
    <w:rPr>
      <w:rFonts w:ascii="Calibri" w:hAnsi="Calibri" w:eastAsia="" w:cs="Calibri" w:eastAsiaTheme="minorEastAsia"/>
      <w:lang w:eastAsia="ro-RO"/>
    </w:rPr>
  </w:style>
  <w:style w:type="paragraph" w:styleId="Ydpc39d0ba1yiv5602785925msolistparagraph" w:customStyle="1">
    <w:name w:val="ydpc39d0ba1yiv5602785925msolistparagraph"/>
    <w:basedOn w:val="Normal"/>
    <w:qFormat/>
    <w:rsid w:val="004c16bb"/>
    <w:pPr>
      <w:spacing w:lineRule="auto" w:line="240" w:beforeAutospacing="1" w:afterAutospacing="1"/>
    </w:pPr>
    <w:rPr>
      <w:rFonts w:ascii="Calibri" w:hAnsi="Calibri" w:eastAsia="" w:cs="Calibri" w:eastAsiaTheme="minorEastAsia"/>
      <w:lang w:eastAsia="ro-RO"/>
    </w:rPr>
  </w:style>
  <w:style w:type="paragraph" w:styleId="HeaderandFooter">
    <w:name w:val="Header and Footer"/>
    <w:basedOn w:val="Normal"/>
    <w:qFormat/>
    <w:pPr/>
    <w:rPr/>
  </w:style>
  <w:style w:type="paragraph" w:styleId="Header">
    <w:name w:val="Header"/>
    <w:basedOn w:val="Normal"/>
    <w:link w:val="AntetCaracter"/>
    <w:uiPriority w:val="99"/>
    <w:unhideWhenUsed/>
    <w:rsid w:val="00b24f43"/>
    <w:pPr>
      <w:tabs>
        <w:tab w:val="clear" w:pos="708"/>
        <w:tab w:val="center" w:pos="4536" w:leader="none"/>
        <w:tab w:val="right" w:pos="9072" w:leader="none"/>
      </w:tabs>
      <w:spacing w:lineRule="auto" w:line="240" w:before="0" w:after="0"/>
    </w:pPr>
    <w:rPr/>
  </w:style>
  <w:style w:type="paragraph" w:styleId="Footer">
    <w:name w:val="Footer"/>
    <w:basedOn w:val="Normal"/>
    <w:link w:val="SubsolCaracter"/>
    <w:uiPriority w:val="99"/>
    <w:unhideWhenUsed/>
    <w:rsid w:val="00b24f4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ril">
    <w:name w:val="Table Grid"/>
    <w:basedOn w:val="TabelNormal"/>
    <w:uiPriority w:val="39"/>
    <w:rsid w:val="00ce77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30A7-01F0-4DFC-BB22-6E06038F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LibreOffice/7.2.4.1$Windows_X86_64 LibreOffice_project/27d75539669ac387bb498e35313b970b7fe9c4f9</Application>
  <AppVersion>15.0000</AppVersion>
  <Pages>12</Pages>
  <Words>3586</Words>
  <Characters>19903</Characters>
  <CharactersWithSpaces>23393</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2022-02-26T08:58:00Z</dcterms:created>
  <dc:creator>Madalina Dinu</dc:creator>
  <dc:description/>
  <dc:language>en-US</dc:language>
  <cp:lastModifiedBy/>
  <dcterms:modified xsi:type="dcterms:W3CDTF">2022-03-18T20:17:45Z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