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5FC8FF" w14:textId="77777777" w:rsidR="009339E7" w:rsidRDefault="009339E7" w:rsidP="009339E7">
      <w:pPr>
        <w:spacing w:after="0" w:line="240" w:lineRule="auto"/>
        <w:rPr>
          <w:rFonts w:ascii="Verdana" w:hAnsi="Verdana" w:cs="Arial"/>
          <w:b/>
          <w:bCs/>
          <w:sz w:val="15"/>
          <w:szCs w:val="15"/>
        </w:rPr>
      </w:pPr>
      <w:r w:rsidRPr="00E9424B">
        <w:rPr>
          <w:rFonts w:ascii="Verdana" w:hAnsi="Verdana" w:cs="Arial"/>
          <w:b/>
          <w:bCs/>
          <w:sz w:val="15"/>
          <w:szCs w:val="15"/>
        </w:rPr>
        <w:t>DEPARTAMENTUL DE FARMACIE, Conferențiar, poziția 12</w:t>
      </w:r>
    </w:p>
    <w:p w14:paraId="18FE59BA" w14:textId="3DEFA931" w:rsidR="00AF4398" w:rsidRDefault="009339E7"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1</w:t>
      </w:r>
      <w:r>
        <w:t xml:space="preserve"> </w:t>
      </w:r>
      <w:r w:rsidRPr="00E9424B">
        <w:rPr>
          <w:rFonts w:ascii="Verdana" w:eastAsia="Times New Roman" w:hAnsi="Verdana" w:cs="Times New Roman"/>
          <w:sz w:val="15"/>
          <w:szCs w:val="15"/>
          <w:lang w:eastAsia="en-GB"/>
        </w:rPr>
        <w:t>Emulsii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E9424B">
        <w:rPr>
          <w:rFonts w:ascii="Verdana" w:eastAsia="Times New Roman" w:hAnsi="Verdana" w:cs="Times New Roman"/>
          <w:sz w:val="15"/>
          <w:szCs w:val="15"/>
          <w:lang w:eastAsia="en-GB"/>
        </w:rPr>
        <w:t>2.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E9424B">
        <w:rPr>
          <w:rFonts w:ascii="Verdana" w:eastAsia="Times New Roman" w:hAnsi="Verdana" w:cs="Times New Roman"/>
          <w:sz w:val="15"/>
          <w:szCs w:val="15"/>
          <w:lang w:eastAsia="en-GB"/>
        </w:rPr>
        <w:t>Suspensii farmaceutice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E9424B">
        <w:rPr>
          <w:rFonts w:ascii="Verdana" w:eastAsia="Times New Roman" w:hAnsi="Verdana" w:cs="Times New Roman"/>
          <w:sz w:val="15"/>
          <w:szCs w:val="15"/>
          <w:lang w:eastAsia="en-GB"/>
        </w:rPr>
        <w:t>3.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E9424B">
        <w:rPr>
          <w:rFonts w:ascii="Verdana" w:eastAsia="Times New Roman" w:hAnsi="Verdana" w:cs="Times New Roman"/>
          <w:sz w:val="15"/>
          <w:szCs w:val="15"/>
          <w:lang w:eastAsia="en-GB"/>
        </w:rPr>
        <w:t>Preparate semisolide pentru aplicații cutanate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E9424B">
        <w:rPr>
          <w:rFonts w:ascii="Verdana" w:eastAsia="Times New Roman" w:hAnsi="Verdana" w:cs="Times New Roman"/>
          <w:sz w:val="15"/>
          <w:szCs w:val="15"/>
          <w:lang w:eastAsia="en-GB"/>
        </w:rPr>
        <w:t>4.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E9424B">
        <w:rPr>
          <w:rFonts w:ascii="Verdana" w:eastAsia="Times New Roman" w:hAnsi="Verdana" w:cs="Times New Roman"/>
          <w:sz w:val="15"/>
          <w:szCs w:val="15"/>
          <w:lang w:eastAsia="en-GB"/>
        </w:rPr>
        <w:t>Preparate transdermice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E9424B">
        <w:rPr>
          <w:rFonts w:ascii="Verdana" w:eastAsia="Times New Roman" w:hAnsi="Verdana" w:cs="Times New Roman"/>
          <w:sz w:val="15"/>
          <w:szCs w:val="15"/>
          <w:lang w:eastAsia="en-GB"/>
        </w:rPr>
        <w:t>5.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E9424B">
        <w:rPr>
          <w:rFonts w:ascii="Verdana" w:eastAsia="Times New Roman" w:hAnsi="Verdana" w:cs="Times New Roman"/>
          <w:sz w:val="15"/>
          <w:szCs w:val="15"/>
          <w:lang w:eastAsia="en-GB"/>
        </w:rPr>
        <w:t>Preparate rectale, vaginale, uretrale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E9424B">
        <w:rPr>
          <w:rFonts w:ascii="Verdana" w:eastAsia="Times New Roman" w:hAnsi="Verdana" w:cs="Times New Roman"/>
          <w:sz w:val="15"/>
          <w:szCs w:val="15"/>
          <w:lang w:eastAsia="en-GB"/>
        </w:rPr>
        <w:t>6.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E9424B">
        <w:rPr>
          <w:rFonts w:ascii="Verdana" w:eastAsia="Times New Roman" w:hAnsi="Verdana" w:cs="Times New Roman"/>
          <w:sz w:val="15"/>
          <w:szCs w:val="15"/>
          <w:lang w:eastAsia="en-GB"/>
        </w:rPr>
        <w:t>Mărimi fizice și măsurarea lor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E9424B">
        <w:rPr>
          <w:rFonts w:ascii="Verdana" w:eastAsia="Times New Roman" w:hAnsi="Verdana" w:cs="Times New Roman"/>
          <w:sz w:val="15"/>
          <w:szCs w:val="15"/>
          <w:lang w:eastAsia="en-GB"/>
        </w:rPr>
        <w:t>7.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E9424B">
        <w:rPr>
          <w:rFonts w:ascii="Verdana" w:eastAsia="Times New Roman" w:hAnsi="Verdana" w:cs="Times New Roman"/>
          <w:sz w:val="15"/>
          <w:szCs w:val="15"/>
          <w:lang w:eastAsia="en-GB"/>
        </w:rPr>
        <w:t>Modelul cinetico - molecular al gazului ideal, gaze biatomice si poliatomice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E9424B">
        <w:rPr>
          <w:rFonts w:ascii="Verdana" w:eastAsia="Times New Roman" w:hAnsi="Verdana" w:cs="Times New Roman"/>
          <w:sz w:val="15"/>
          <w:szCs w:val="15"/>
          <w:lang w:eastAsia="en-GB"/>
        </w:rPr>
        <w:t>8.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E9424B">
        <w:rPr>
          <w:rFonts w:ascii="Verdana" w:eastAsia="Times New Roman" w:hAnsi="Verdana" w:cs="Times New Roman"/>
          <w:sz w:val="15"/>
          <w:szCs w:val="15"/>
          <w:lang w:eastAsia="en-GB"/>
        </w:rPr>
        <w:t>Dinamica lichidelor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E9424B">
        <w:rPr>
          <w:rFonts w:ascii="Verdana" w:eastAsia="Times New Roman" w:hAnsi="Verdana" w:cs="Times New Roman"/>
          <w:sz w:val="15"/>
          <w:szCs w:val="15"/>
          <w:lang w:eastAsia="en-GB"/>
        </w:rPr>
        <w:t>9.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E9424B">
        <w:rPr>
          <w:rFonts w:ascii="Verdana" w:eastAsia="Times New Roman" w:hAnsi="Verdana" w:cs="Times New Roman"/>
          <w:sz w:val="15"/>
          <w:szCs w:val="15"/>
          <w:lang w:eastAsia="en-GB"/>
        </w:rPr>
        <w:t>Noțiuni generale de electrostatică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E9424B">
        <w:rPr>
          <w:rFonts w:ascii="Verdana" w:eastAsia="Times New Roman" w:hAnsi="Verdana" w:cs="Times New Roman"/>
          <w:sz w:val="15"/>
          <w:szCs w:val="15"/>
          <w:lang w:eastAsia="en-GB"/>
        </w:rPr>
        <w:t>10.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E9424B">
        <w:rPr>
          <w:rFonts w:ascii="Verdana" w:eastAsia="Times New Roman" w:hAnsi="Verdana" w:cs="Times New Roman"/>
          <w:sz w:val="15"/>
          <w:szCs w:val="15"/>
          <w:lang w:eastAsia="en-GB"/>
        </w:rPr>
        <w:t>Colorimetrie şi spectrofotometrie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E9424B">
        <w:rPr>
          <w:rFonts w:ascii="Verdana" w:eastAsia="Times New Roman" w:hAnsi="Verdana" w:cs="Times New Roman"/>
          <w:sz w:val="15"/>
          <w:szCs w:val="15"/>
          <w:lang w:eastAsia="en-GB"/>
        </w:rPr>
        <w:t>11.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E9424B">
        <w:rPr>
          <w:rFonts w:ascii="Verdana" w:eastAsia="Times New Roman" w:hAnsi="Verdana" w:cs="Times New Roman"/>
          <w:sz w:val="15"/>
          <w:szCs w:val="15"/>
          <w:lang w:eastAsia="en-GB"/>
        </w:rPr>
        <w:t>Termeni din practica farmaceutică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>;</w:t>
      </w:r>
    </w:p>
    <w:sectPr w:rsidR="00AF4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E7"/>
    <w:rsid w:val="009339E7"/>
    <w:rsid w:val="00AF4398"/>
    <w:rsid w:val="00C462D8"/>
    <w:rsid w:val="00E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8EBA8"/>
  <w15:chartTrackingRefBased/>
  <w15:docId w15:val="{351C1FFE-21FC-4E15-A6FB-0A59D6DF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9E7"/>
    <w:pPr>
      <w:spacing w:after="200" w:line="276" w:lineRule="auto"/>
    </w:pPr>
    <w:rPr>
      <w:kern w:val="0"/>
      <w:lang w:val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39E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39E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39E7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39E7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G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39E7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en-G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39E7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G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39E7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G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39E7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G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39E7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39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39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39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39E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39E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39E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39E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39E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39E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339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339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39E7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339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339E7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en-G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339E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339E7"/>
    <w:pPr>
      <w:spacing w:after="160" w:line="259" w:lineRule="auto"/>
      <w:ind w:left="720"/>
      <w:contextualSpacing/>
    </w:pPr>
    <w:rPr>
      <w:kern w:val="2"/>
      <w:lang w:val="en-GB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339E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39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en-G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39E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339E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Comunicare&amp;Marketing</dc:creator>
  <cp:keywords/>
  <dc:description/>
  <cp:lastModifiedBy>Comunicare&amp;Marketing</cp:lastModifiedBy>
  <cp:revision>1</cp:revision>
  <dcterms:created xsi:type="dcterms:W3CDTF">2024-03-18T09:08:00Z</dcterms:created>
  <dcterms:modified xsi:type="dcterms:W3CDTF">2024-03-18T09:09:00Z</dcterms:modified>
</cp:coreProperties>
</file>