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C8FF" w14:textId="77777777" w:rsidR="009339E7" w:rsidRDefault="009339E7" w:rsidP="009339E7">
      <w:pPr>
        <w:spacing w:after="0" w:line="240" w:lineRule="auto"/>
        <w:rPr>
          <w:rFonts w:ascii="Verdana" w:hAnsi="Verdana" w:cs="Arial"/>
          <w:b/>
          <w:bCs/>
          <w:sz w:val="15"/>
          <w:szCs w:val="15"/>
        </w:rPr>
      </w:pPr>
      <w:r w:rsidRPr="00E9424B">
        <w:rPr>
          <w:rFonts w:ascii="Verdana" w:hAnsi="Verdana" w:cs="Arial"/>
          <w:b/>
          <w:bCs/>
          <w:sz w:val="15"/>
          <w:szCs w:val="15"/>
        </w:rPr>
        <w:t>DEPARTAMENTUL DE FARMACIE, Conferențiar, poziția 12</w:t>
      </w:r>
    </w:p>
    <w:p w14:paraId="18FE59BA" w14:textId="3DEFA931" w:rsidR="00AF4398" w:rsidRDefault="009339E7"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</w:t>
      </w:r>
      <w: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Emulsii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2.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Suspensii farmaceutice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3.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Preparate semisolide pentru aplicații cutanate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4.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Preparate transdermice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5.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Preparate rectale, vaginale, uretrale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6.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Mărimi fizice și măsurarea lor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7.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Modelul cinetico - molecular al gazului ideal, gaze biatomice si poliatomice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8.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Dinamica lichidelor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9.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Noțiuni generale de electrostatică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10.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Colorimetrie şi spectrofotometrie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11.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Termeni din practica farmaceutică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E7"/>
    <w:rsid w:val="009339E7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BA8"/>
  <w15:chartTrackingRefBased/>
  <w15:docId w15:val="{351C1FFE-21FC-4E15-A6FB-0A59D6DF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E7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9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9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9E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9E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9E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9E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9E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9E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9E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9E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9E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3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9E7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3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2024-03-18T09:08:00Z</dcterms:created>
  <dcterms:modified xsi:type="dcterms:W3CDTF">2024-03-18T09:09:00Z</dcterms:modified>
</cp:coreProperties>
</file>