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B11E13" w14:textId="77777777" w:rsidR="00C9015D" w:rsidRPr="00E62F0A" w:rsidRDefault="00C9015D" w:rsidP="00C9015D">
      <w:pPr>
        <w:rPr>
          <w:rFonts w:ascii="Verdana" w:hAnsi="Verdana"/>
          <w:b/>
          <w:bCs/>
          <w:sz w:val="15"/>
        </w:rPr>
      </w:pPr>
      <w:r w:rsidRPr="00E62F0A">
        <w:rPr>
          <w:rFonts w:ascii="Verdana" w:hAnsi="Verdana"/>
          <w:b/>
          <w:bCs/>
          <w:sz w:val="15"/>
        </w:rPr>
        <w:t>DEPARTAMENTUL DE FARMACIE, Șef de lucrări, poziția 28</w:t>
      </w:r>
    </w:p>
    <w:p w14:paraId="76D24FEE" w14:textId="6A9BC618" w:rsidR="00AF4398" w:rsidRDefault="00C9015D">
      <w:r w:rsidRPr="00E62F0A">
        <w:rPr>
          <w:rFonts w:ascii="Verdana" w:eastAsia="Times New Roman" w:hAnsi="Verdana" w:cs="Times New Roman"/>
          <w:sz w:val="15"/>
          <w:szCs w:val="15"/>
          <w:lang w:val="it-IT" w:eastAsia="en-GB"/>
        </w:rPr>
        <w:t>1</w:t>
      </w:r>
      <w:r>
        <w:t xml:space="preserve"> </w:t>
      </w:r>
      <w:r w:rsidRPr="00E62F0A">
        <w:rPr>
          <w:rFonts w:ascii="Verdana" w:eastAsia="Times New Roman" w:hAnsi="Verdana" w:cs="Times New Roman"/>
          <w:sz w:val="15"/>
          <w:szCs w:val="15"/>
          <w:lang w:val="it-IT" w:eastAsia="en-GB"/>
        </w:rPr>
        <w:t>Formularea și biodisponibilitatea medicamentelor</w:t>
      </w:r>
      <w:r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; </w:t>
      </w:r>
      <w:r w:rsidRPr="00E62F0A">
        <w:rPr>
          <w:rFonts w:ascii="Verdana" w:eastAsia="Times New Roman" w:hAnsi="Verdana" w:cs="Times New Roman"/>
          <w:sz w:val="15"/>
          <w:szCs w:val="15"/>
          <w:lang w:val="it-IT" w:eastAsia="en-GB"/>
        </w:rPr>
        <w:t>2.</w:t>
      </w:r>
      <w:r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 </w:t>
      </w:r>
      <w:r w:rsidRPr="00E62F0A">
        <w:rPr>
          <w:rFonts w:ascii="Verdana" w:eastAsia="Times New Roman" w:hAnsi="Verdana" w:cs="Times New Roman"/>
          <w:sz w:val="15"/>
          <w:szCs w:val="15"/>
          <w:lang w:val="it-IT" w:eastAsia="en-GB"/>
        </w:rPr>
        <w:t>Soluții medicamentoase</w:t>
      </w:r>
      <w:r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; </w:t>
      </w:r>
      <w:r w:rsidRPr="00E62F0A">
        <w:rPr>
          <w:rFonts w:ascii="Verdana" w:eastAsia="Times New Roman" w:hAnsi="Verdana" w:cs="Times New Roman"/>
          <w:sz w:val="15"/>
          <w:szCs w:val="15"/>
          <w:lang w:val="it-IT" w:eastAsia="en-GB"/>
        </w:rPr>
        <w:t>3.</w:t>
      </w:r>
      <w:r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 </w:t>
      </w:r>
      <w:r w:rsidRPr="00E62F0A">
        <w:rPr>
          <w:rFonts w:ascii="Verdana" w:eastAsia="Times New Roman" w:hAnsi="Verdana" w:cs="Times New Roman"/>
          <w:sz w:val="15"/>
          <w:szCs w:val="15"/>
          <w:lang w:val="it-IT" w:eastAsia="en-GB"/>
        </w:rPr>
        <w:t>Soluții medicamentoase pentru administrare orală: soluții administrate pe mucoase, soluții auriculare, soluții rinofaringiene, soluții bucofaringiene, soluții rectale și vaginale, soluții pentru aplicații cutanate</w:t>
      </w:r>
      <w:r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; </w:t>
      </w:r>
      <w:r w:rsidRPr="00E62F0A">
        <w:rPr>
          <w:rFonts w:ascii="Verdana" w:eastAsia="Times New Roman" w:hAnsi="Verdana" w:cs="Times New Roman"/>
          <w:sz w:val="15"/>
          <w:szCs w:val="15"/>
          <w:lang w:val="it-IT" w:eastAsia="en-GB"/>
        </w:rPr>
        <w:t>4.</w:t>
      </w:r>
      <w:r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 </w:t>
      </w:r>
      <w:r w:rsidRPr="00E62F0A">
        <w:rPr>
          <w:rFonts w:ascii="Verdana" w:eastAsia="Times New Roman" w:hAnsi="Verdana" w:cs="Times New Roman"/>
          <w:sz w:val="15"/>
          <w:szCs w:val="15"/>
          <w:lang w:val="it-IT" w:eastAsia="en-GB"/>
        </w:rPr>
        <w:t>Comprimate și capsule</w:t>
      </w:r>
      <w:r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; </w:t>
      </w:r>
      <w:r w:rsidRPr="00E62F0A">
        <w:rPr>
          <w:rFonts w:ascii="Verdana" w:eastAsia="Times New Roman" w:hAnsi="Verdana" w:cs="Times New Roman"/>
          <w:sz w:val="15"/>
          <w:szCs w:val="15"/>
          <w:lang w:val="it-IT" w:eastAsia="en-GB"/>
        </w:rPr>
        <w:t>5</w:t>
      </w:r>
      <w:r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. </w:t>
      </w:r>
      <w:r w:rsidRPr="00E62F0A">
        <w:rPr>
          <w:rFonts w:ascii="Verdana" w:eastAsia="Times New Roman" w:hAnsi="Verdana" w:cs="Times New Roman"/>
          <w:sz w:val="15"/>
          <w:szCs w:val="15"/>
          <w:lang w:val="it-IT" w:eastAsia="en-GB"/>
        </w:rPr>
        <w:t>Forme farmaceutice orale cu eliberare modificată</w:t>
      </w:r>
      <w:r>
        <w:rPr>
          <w:rFonts w:ascii="Verdana" w:eastAsia="Times New Roman" w:hAnsi="Verdana" w:cs="Times New Roman"/>
          <w:sz w:val="15"/>
          <w:szCs w:val="15"/>
          <w:lang w:val="it-IT" w:eastAsia="en-GB"/>
        </w:rPr>
        <w:t>;</w:t>
      </w:r>
    </w:p>
    <w:sectPr w:rsidR="00AF4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5D"/>
    <w:rsid w:val="00AF4398"/>
    <w:rsid w:val="00C462D8"/>
    <w:rsid w:val="00C9015D"/>
    <w:rsid w:val="00E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D3117"/>
  <w15:chartTrackingRefBased/>
  <w15:docId w15:val="{A36A3015-5AD7-4B92-836B-5669BD3D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15D"/>
    <w:pPr>
      <w:spacing w:after="200" w:line="276" w:lineRule="auto"/>
    </w:pPr>
    <w:rPr>
      <w:kern w:val="0"/>
      <w:lang w:val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15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015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015D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GB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015D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GB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015D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val="en-GB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015D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GB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015D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GB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015D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GB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015D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1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01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01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015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015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015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015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015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015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901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90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015D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GB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C901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9015D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lang w:val="en-GB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9015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9015D"/>
    <w:pPr>
      <w:spacing w:after="160" w:line="259" w:lineRule="auto"/>
      <w:ind w:left="720"/>
      <w:contextualSpacing/>
    </w:pPr>
    <w:rPr>
      <w:kern w:val="2"/>
      <w:lang w:val="en-GB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C9015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01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lang w:val="en-GB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015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9015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Comunicare&amp;Marketing</dc:creator>
  <cp:keywords/>
  <dc:description/>
  <cp:lastModifiedBy>Comunicare&amp;Marketing</cp:lastModifiedBy>
  <cp:revision>1</cp:revision>
  <dcterms:created xsi:type="dcterms:W3CDTF">2024-03-18T09:09:00Z</dcterms:created>
  <dcterms:modified xsi:type="dcterms:W3CDTF">2024-03-18T09:09:00Z</dcterms:modified>
</cp:coreProperties>
</file>