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3BC34" w14:textId="77777777" w:rsidR="00C94B99" w:rsidRDefault="00C94B99" w:rsidP="00C94B99">
      <w:pPr>
        <w:spacing w:after="0" w:line="240" w:lineRule="auto"/>
        <w:rPr>
          <w:rFonts w:ascii="Verdana" w:hAnsi="Verdana" w:cs="Arial"/>
          <w:b/>
          <w:sz w:val="15"/>
          <w:szCs w:val="15"/>
        </w:rPr>
      </w:pPr>
      <w:r w:rsidRPr="00FF6DCF">
        <w:rPr>
          <w:rFonts w:ascii="Verdana" w:hAnsi="Verdana" w:cs="Arial"/>
          <w:b/>
          <w:sz w:val="15"/>
          <w:szCs w:val="15"/>
        </w:rPr>
        <w:t>DEPARTAMENTUL DISCIPLINELOR MEDICO-CHIRURGICALE ȘI PROFILACTICE</w:t>
      </w:r>
      <w:r>
        <w:rPr>
          <w:rFonts w:ascii="Verdana" w:hAnsi="Verdana" w:cs="Arial"/>
          <w:b/>
          <w:sz w:val="15"/>
          <w:szCs w:val="15"/>
        </w:rPr>
        <w:t>,  Șef de lucrări, poziția 171</w:t>
      </w:r>
    </w:p>
    <w:p w14:paraId="775B1765" w14:textId="0D0E1367" w:rsidR="00AF4398" w:rsidRDefault="00C94B99"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1.General principles of orthopedics and traumatology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;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Fractures of the upper limb 1 (scapular girdle, humerus, elbow)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;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3.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Fractures of the upper limb 2 (forearm, wrist, hand)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;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4.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Fractures of the lower limb (pelvis, femur, knee)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;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5.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Fractures of the lower limb (tibia, fibula, ankle, foot)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;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6.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Sprains, dislocations and sports pathology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;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7.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Arthritis and degenerative pathology in orthopedics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;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8.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Deformities of osteo-articular system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;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9.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Osteo-articular infections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;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10.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General considerations regarding musculoskeletal tumors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;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11.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Benign bone tumors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;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12.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 xml:space="preserve"> </w:t>
      </w:r>
      <w:r w:rsidRPr="002D0EC3">
        <w:rPr>
          <w:rFonts w:ascii="Verdana" w:eastAsia="Times New Roman" w:hAnsi="Verdana" w:cs="Times New Roman"/>
          <w:sz w:val="15"/>
          <w:szCs w:val="15"/>
          <w:lang w:val="en-US" w:eastAsia="en-GB"/>
        </w:rPr>
        <w:t>Malignant bone tumors</w:t>
      </w:r>
      <w:r>
        <w:rPr>
          <w:rFonts w:ascii="Verdana" w:eastAsia="Times New Roman" w:hAnsi="Verdana" w:cs="Times New Roman"/>
          <w:sz w:val="15"/>
          <w:szCs w:val="15"/>
          <w:lang w:val="en-US" w:eastAsia="en-GB"/>
        </w:rPr>
        <w:t>;</w:t>
      </w:r>
    </w:p>
    <w:sectPr w:rsidR="00AF4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99"/>
    <w:rsid w:val="00AF4398"/>
    <w:rsid w:val="00C462D8"/>
    <w:rsid w:val="00C94B99"/>
    <w:rsid w:val="00E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0478"/>
  <w15:chartTrackingRefBased/>
  <w15:docId w15:val="{E1E8E520-412C-42C4-A370-B922B4F9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B99"/>
    <w:pPr>
      <w:spacing w:after="200" w:line="276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B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B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B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B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B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B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B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B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B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B9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B9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B99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4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Comunicare&amp;Marketing</dc:creator>
  <cp:keywords/>
  <dc:description/>
  <cp:lastModifiedBy>Comunicare&amp;Marketing</cp:lastModifiedBy>
  <cp:revision>1</cp:revision>
  <dcterms:created xsi:type="dcterms:W3CDTF">2024-03-18T08:45:00Z</dcterms:created>
  <dcterms:modified xsi:type="dcterms:W3CDTF">2024-03-18T08:46:00Z</dcterms:modified>
</cp:coreProperties>
</file>