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320D" w14:textId="77777777" w:rsidR="0031598A" w:rsidRPr="0031598A" w:rsidRDefault="0031598A" w:rsidP="003159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30"/>
          <w:szCs w:val="30"/>
          <w:bdr w:val="none" w:sz="0" w:space="0" w:color="auto" w:frame="1"/>
          <w:shd w:val="clear" w:color="auto" w:fill="FFFFFF"/>
          <w:lang w:eastAsia="en-GB"/>
          <w14:ligatures w14:val="none"/>
        </w:rPr>
        <w:t>ORDIN nr. 833/4.446/2020</w:t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pentru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modificarea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anexei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 la </w:t>
      </w:r>
      <w:proofErr w:type="spellStart"/>
      <w:r w:rsidR="00000000">
        <w:fldChar w:fldCharType="begin"/>
      </w:r>
      <w:r w:rsidR="00000000">
        <w:instrText>HYPERLINK "https://legislatie.just.ro/Public/DetaliiDocumentAfis/222999"</w:instrText>
      </w:r>
      <w:r w:rsidR="00000000">
        <w:fldChar w:fldCharType="separate"/>
      </w:r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Ordinul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publice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tineretului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1.141/1.386/2007</w:t>
      </w:r>
      <w:r w:rsidR="00000000">
        <w:rPr>
          <w:rFonts w:ascii="Verdana" w:eastAsia="Times New Roman" w:hAnsi="Verdana" w:cs="Times New Roman"/>
          <w:b/>
          <w:bCs/>
          <w:color w:val="428BCA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efectuare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specialitățile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rețeaua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asistență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</w:p>
    <w:tbl>
      <w:tblPr>
        <w:tblW w:w="9350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8261"/>
      </w:tblGrid>
      <w:tr w:rsidR="0031598A" w:rsidRPr="0031598A" w14:paraId="0B1A256E" w14:textId="77777777" w:rsidTr="003159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B2D66A" w14:textId="77777777" w:rsidR="0031598A" w:rsidRPr="0031598A" w:rsidRDefault="0031598A" w:rsidP="003159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</w:pPr>
            <w:r w:rsidRPr="003159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en-GB"/>
                <w14:ligatures w14:val="none"/>
              </w:rPr>
              <w:t>EMITENT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D89B77" w14:textId="77777777" w:rsidR="0031598A" w:rsidRPr="0031598A" w:rsidRDefault="0031598A" w:rsidP="0031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</w:pPr>
            <w:r w:rsidRPr="0031598A">
              <w:rPr>
                <w:rFonts w:ascii="Verdana" w:eastAsia="Times New Roman" w:hAnsi="Symbol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</w:t>
            </w:r>
            <w:r w:rsidRPr="0031598A">
              <w:rPr>
                <w:rFonts w:ascii="Verdana" w:eastAsia="Times New Roman" w:hAnsi="Verdana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 xml:space="preserve">  MINISTERUL SĂNĂTĂȚII Nr. 833 din 18 </w:t>
            </w:r>
            <w:proofErr w:type="spellStart"/>
            <w:r w:rsidRPr="0031598A">
              <w:rPr>
                <w:rFonts w:ascii="Verdana" w:eastAsia="Times New Roman" w:hAnsi="Verdana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mai</w:t>
            </w:r>
            <w:proofErr w:type="spellEnd"/>
            <w:r w:rsidRPr="0031598A">
              <w:rPr>
                <w:rFonts w:ascii="Verdana" w:eastAsia="Times New Roman" w:hAnsi="Verdana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 xml:space="preserve"> 2020</w:t>
            </w:r>
          </w:p>
          <w:p w14:paraId="36D100D8" w14:textId="77777777" w:rsidR="0031598A" w:rsidRPr="0031598A" w:rsidRDefault="0031598A" w:rsidP="0031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</w:pPr>
            <w:r w:rsidRPr="0031598A">
              <w:rPr>
                <w:rFonts w:ascii="Verdana" w:eastAsia="Times New Roman" w:hAnsi="Symbol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</w:t>
            </w:r>
            <w:r w:rsidRPr="0031598A">
              <w:rPr>
                <w:rFonts w:ascii="Verdana" w:eastAsia="Times New Roman" w:hAnsi="Verdana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 xml:space="preserve">  MINISTERUL EDUCAȚIEI ȘI CERCETĂRII Nr. 4.446 din 3 </w:t>
            </w:r>
            <w:proofErr w:type="spellStart"/>
            <w:r w:rsidRPr="0031598A">
              <w:rPr>
                <w:rFonts w:ascii="Verdana" w:eastAsia="Times New Roman" w:hAnsi="Verdana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>iunie</w:t>
            </w:r>
            <w:proofErr w:type="spellEnd"/>
            <w:r w:rsidRPr="0031598A">
              <w:rPr>
                <w:rFonts w:ascii="Verdana" w:eastAsia="Times New Roman" w:hAnsi="Verdana" w:cs="Times New Roman"/>
                <w:b/>
                <w:bCs/>
                <w:color w:val="006400"/>
                <w:kern w:val="0"/>
                <w:sz w:val="18"/>
                <w:szCs w:val="18"/>
                <w:bdr w:val="none" w:sz="0" w:space="0" w:color="auto" w:frame="1"/>
                <w:lang w:eastAsia="en-GB"/>
                <w14:ligatures w14:val="none"/>
              </w:rPr>
              <w:t xml:space="preserve"> 2020</w:t>
            </w:r>
          </w:p>
        </w:tc>
      </w:tr>
    </w:tbl>
    <w:p w14:paraId="24A25E95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Publicat</w:t>
      </w:r>
      <w:proofErr w:type="spellEnd"/>
      <w:r w:rsidRPr="0031598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  </w:t>
      </w:r>
      <w:r w:rsidRPr="0031598A">
        <w:rPr>
          <w:rFonts w:ascii="Verdana" w:eastAsia="Times New Roman" w:hAnsi="Verdana" w:cs="Arial"/>
          <w:b/>
          <w:bCs/>
          <w:color w:val="00008B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t>MONITORUL OFICIAL nr. 696 din 4 august 2020</w:t>
      </w:r>
      <w:r w:rsidRPr="0031598A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31598A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31598A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31598A">
        <w:rPr>
          <w:rFonts w:ascii="Verdana" w:eastAsia="Times New Roman" w:hAnsi="Verdana" w:cs="Times New Roman"/>
          <w:color w:val="000000"/>
          <w:kern w:val="0"/>
          <w:sz w:val="21"/>
          <w:szCs w:val="21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Văzând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Referatul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NT 2.390 din 15.05.2020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resurse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umane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Sănătății,având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hyperlink r:id="rId4" w:history="1"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art. 10 din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Ordonanța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Guvernului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nr. 18/2009</w:t>
        </w:r>
      </w:hyperlink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finanțarea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"https://legislatie.just.ro/Public/DetaliiDocumentAfis/139426"</w:instrText>
      </w:r>
      <w:r w:rsidR="00000000">
        <w:fldChar w:fldCharType="separate"/>
      </w:r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Legea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103/2012</w:t>
      </w:r>
      <w:r w:rsidR="00000000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ulterioare,în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temeiul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hyperlink r:id="rId5" w:history="1"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art. 7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alin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. (4) din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Hotărârea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Guvernului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nr. 144/2010</w:t>
        </w:r>
      </w:hyperlink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funcționarea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 </w:t>
      </w:r>
      <w:hyperlink r:id="rId6" w:history="1"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art. 15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alin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. (3) din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Hotărârea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Guvernului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nr. 24/2020</w:t>
        </w:r>
      </w:hyperlink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funcționarea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Cercetării,ministrul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emit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:</w:t>
      </w:r>
    </w:p>
    <w:p w14:paraId="71A38421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</w:t>
      </w:r>
      <w:hyperlink r:id="rId7" w:history="1"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Anexa nr. 1</w:t>
        </w:r>
      </w:hyperlink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la </w:t>
      </w:r>
      <w:proofErr w:type="spellStart"/>
      <w:r w:rsidR="00000000">
        <w:fldChar w:fldCharType="begin"/>
      </w:r>
      <w:r w:rsidR="00000000">
        <w:instrText>HYPERLINK "https://legislatie.just.ro/Public/DetaliiDocumentAfis/222999"</w:instrText>
      </w:r>
      <w:r w:rsidR="00000000">
        <w:fldChar w:fldCharType="separate"/>
      </w:r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Ordinul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publice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tineretului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1.141/1.386/2007</w:t>
      </w:r>
      <w:r w:rsidR="00000000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rețeaua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Oficial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I, nr. 671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671 bis din 1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octombrie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2007,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înlocuiește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 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anexa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 care face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integrantă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06A6CB35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II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 superior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îndeplinire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145AA2E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III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Oficial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I.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Ministrul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,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Nelu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Tătaru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Ministrul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,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Cristina Monica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17"/>
          <w:szCs w:val="17"/>
          <w:bdr w:val="none" w:sz="0" w:space="0" w:color="auto" w:frame="1"/>
          <w:shd w:val="clear" w:color="auto" w:fill="FFFFFF"/>
          <w:lang w:eastAsia="en-GB"/>
          <w14:ligatures w14:val="none"/>
        </w:rPr>
        <w:t>Anisie</w:t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ANEXĂ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Anexa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 la </w:t>
      </w:r>
      <w:proofErr w:type="spellStart"/>
      <w:r w:rsidR="00000000">
        <w:fldChar w:fldCharType="begin"/>
      </w:r>
      <w:r w:rsidR="00000000">
        <w:instrText>HYPERLINK "https://legislatie.just.ro/Public/DetaliiDocumentAfis/222999"</w:instrText>
      </w:r>
      <w:r w:rsidR="00000000">
        <w:fldChar w:fldCharType="separate"/>
      </w:r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Ordinul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1.141/1.386/2007)</w:t>
      </w:r>
      <w:r w:rsidR="00000000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</w:p>
    <w:p w14:paraId="3F16282D" w14:textId="77777777" w:rsidR="00EF24DD" w:rsidRDefault="00EF24DD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1719D2D1" w14:textId="77777777" w:rsidR="00EF24DD" w:rsidRDefault="00EF24DD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66C2D616" w14:textId="77777777" w:rsidR="00EF24DD" w:rsidRDefault="00EF24DD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06E1EFA8" w14:textId="77777777" w:rsidR="00EF24DD" w:rsidRDefault="00EF24DD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1EE8BDA8" w14:textId="35593004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EF24DD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REGULAMENT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  <w:t xml:space="preserve">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  <w:t xml:space="preserve">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rețeaua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="00EF24DD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</w:t>
      </w:r>
    </w:p>
    <w:p w14:paraId="789D9043" w14:textId="77777777" w:rsidR="00EF24DD" w:rsidRDefault="0031598A">
      <w:pPr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Secţiunea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1 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Dispoziții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generale</w:t>
      </w:r>
      <w:proofErr w:type="spellEnd"/>
    </w:p>
    <w:p w14:paraId="529B33EB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reprezintă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forma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absolvenții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licențiați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necesară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obținerii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cuprinse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rețeaua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conform </w:t>
      </w:r>
      <w:hyperlink r:id="rId8" w:history="1"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art. 174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alin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(8) din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Legea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educației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</w:t>
        </w:r>
        <w:proofErr w:type="spellStart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naționale</w:t>
        </w:r>
        <w:proofErr w:type="spellEnd"/>
        <w:r w:rsidRPr="0031598A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 xml:space="preserve"> nr. 1/2011</w:t>
        </w:r>
      </w:hyperlink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stabilesc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rețeaua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mod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descentralizat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regional,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nivelul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departamentele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inclusiv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cabinete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individuale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militare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rețea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proprie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administrarea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locale.(4)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private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particulare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care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structură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studii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licență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îndeplinirii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criteriilor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.(5) Prin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înțelege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rețeaua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asistență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.(6)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curriculum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manopere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proceduri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tehnici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diagnostice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terapeutice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țară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.(7)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propus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consultative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consultarea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Stomatologi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Farmaciștilor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.(8)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transmite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tuturor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tuturor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rețeaua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asistență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.(9)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teoretică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reprezentată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manopere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proceduri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tehnici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diagnostice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terapeutice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caracter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obligatoriu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netransmisibile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denumite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Carnetul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tipăresc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distribuie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.(10)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Modelul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standard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 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. (9)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AB86E6A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astfel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:(1)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complementare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decât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se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aptitudinilor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teoretice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practice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dobândite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face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condiționată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existența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recomandări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supravegherea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căruia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s-a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314571AC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medical,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uman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anumită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realizează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/director de program,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înalt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grad didactic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buna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.(2) Prin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înțelege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clinic/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clinic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compartimentul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clinic,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denumită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continuare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realizează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farmacistului-șef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trebuie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îndeplinească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condiții: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disciplină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departament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farmacist-șef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didactic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conferențiar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).(5)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cadre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didactice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conferențiar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internă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pediatrie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.(6)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se face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5BDF6F8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4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Coordonatorul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atribuții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responsabilități: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întreaga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durată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nominalizați;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evoluția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întreaga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cursurile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conformitate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art. 1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colaborează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complementare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optime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h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verificarea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atât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aptitudinilor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teoretice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cât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practice,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dobândite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cooptează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colectivelor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care 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conduce.</w:t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5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director de program nu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simultan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multe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deține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titlul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potrivit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Nomenclatorului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scindată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timp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până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mult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un an.</w:t>
      </w:r>
    </w:p>
    <w:p w14:paraId="0AB68777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6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trebuie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farmacist-șef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E7A00A0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7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atribuții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responsabilități: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farmaciștii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minimum 5 ani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vechime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primari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compartimentul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evoluția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colaborează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verifică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semnătură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parafă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parcurgerea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seminare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discuții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periodice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puțin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4 ore/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săptămână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articole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actualități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participă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final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h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complementare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indiferent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complementare;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verifică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semnătură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parafă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parcurgerea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eliberează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sfârșitul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recomandare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necesară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Recomandarea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apreciere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forma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calificativ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insuficient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suficient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bine,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foarte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bine).</w:t>
      </w:r>
    </w:p>
    <w:p w14:paraId="77979207" w14:textId="5FCF4AEB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8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trebuie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fie medic, medic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stomatolog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vechime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minimum 5 ani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subordinea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/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maximum 5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indiferent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incluzându-i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fără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dispensar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trebuie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fie medic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 cu minimum 5 ani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vechime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7E40496B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9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atribuții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responsabilități: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evoluția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respective,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indiferent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verifică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semnătură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parafă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parcurgerea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seminare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discuții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periodice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puțin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4 ore/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săptămână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articole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actualități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domeniu.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contrasemnează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recomandarea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eliberată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15BC022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10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didactice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sunt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normate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medico-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farmaceutic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uman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beneficiază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40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credite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continuă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care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instruire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3BF11730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11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Lista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medicina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urgență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Lista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actualizează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anual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site-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EF4A9BF" w14:textId="77777777" w:rsidR="00EF24DD" w:rsidRDefault="0031598A">
      <w:pPr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Secţiunea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2-a 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Drepturile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obligațiile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</w:p>
    <w:p w14:paraId="7AA96AB3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12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consemneze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aspecte: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lista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examinate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curricular,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diagnosticului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manoperelor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procedurilor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tehnicilor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contrasemnate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parafate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data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gărzi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parafată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rezultatele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semnătura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parafa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manifestările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continuă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care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participat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diplomei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participare;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științifice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comunicate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manifestări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științifice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elaborate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finanțate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sprijinul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studiile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curant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pacienților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studiile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științifice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respective.(2)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Acuratețea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datelor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semnătură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parafă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Doctoranzii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frecvență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concomitent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doctorat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frecvență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măsura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conducerea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doctorat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cursul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după-amiezii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doctoratului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frecvență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suspendă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doctorat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validat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6F52EE8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13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parcurge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conformitate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legal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odihnă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astfel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încât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fie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afectată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exemplu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module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căror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depășește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puțin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dublul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conformitate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practice,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funcție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capacitatea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informeze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asupra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etapei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.(5) 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susțin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constând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tematica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condiționată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parcurgerea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curricular,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recomandarea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calificativul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puțin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„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suficient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“.(6)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cu note de la 1,00 la 10,00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consideră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obținerii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minimum 7,00,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calculată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aritmetică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probe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practică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nepromovării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reevaluați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2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-un termen de maximum 6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devreme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3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prima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nepromovată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.(7)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Neprezentarea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nepromovarea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evaluărilor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mult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atrage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justificate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graviditate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afecțiuni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studii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străinătate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etc.).</w:t>
      </w:r>
    </w:p>
    <w:p w14:paraId="14904A3E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14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exercita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competență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corespunzătoare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nivelului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Depășirea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competență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sancționează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competență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corespunzătoare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nivelului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stabilesc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colaborare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colegiile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profesionale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propunerea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trecute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mod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obligatoriu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fișa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întocmită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alături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celelalte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salariatului.</w:t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15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Începând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linia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liniei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normal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linia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răspunderea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supravegherea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titular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Începând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III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linia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normal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competență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 </w:t>
      </w:r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art. 14 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. (2)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supravegherea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 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domiciliu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desemnat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sens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program, precum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desemna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titulari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linia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gardă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acestora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garda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timpului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normal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gărzi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normal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salarizați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această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garda,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legale.</w:t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16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Rezidenții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utilizeze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informarea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bibliotecile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spitalelor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bibliotecile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electronice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acreditate.</w:t>
      </w: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17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participa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diverse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cursuri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conferințe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congrese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domeniul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plan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național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internațional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informarea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"https://legislatie.just.ro/Public/DetaliiDocumentAfis/228069"</w:instrText>
      </w:r>
      <w:r w:rsidR="00000000">
        <w:fldChar w:fldCharType="separate"/>
      </w:r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Legii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53/2003 -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Codul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muncii</w:t>
      </w:r>
      <w:proofErr w:type="spellEnd"/>
      <w:r w:rsidR="00000000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depune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minimum 5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înainte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data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întreruperii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însoțită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dovada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acceptați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precizarea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exacte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însoțită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obligatoriu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Întreruperea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mare de un an,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posibilitatea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prelungire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însoțite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justificative.(3)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recunoscute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: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fotocopii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traduceri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legalizate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emise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autoritățile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competente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țările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respective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C2E6E0F" w14:textId="04FA620D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18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întrerupe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motive: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participarea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însoțirea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soțului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misiune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oficială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studii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străinătate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maternitate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îngrijirea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copilului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până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2 ani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potrivit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maternitate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creștere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îngrijire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copil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concediului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fără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plată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competența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Revine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sarcina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prelungirea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întreruptă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reluarea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Întreruperile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afara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României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recunoscute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prelungirea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Întreruperea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nejustificată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mare de 6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atrage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măsura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încetării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354DCE91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19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urmărească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activitatea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dentiști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farmaciștilor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primari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fără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condițiile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 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. (1)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ține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evidență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strictă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separată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prezenței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de-a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regim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fără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18650945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20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centre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module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scopul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indiferent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prezintă: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adresată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denumirea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(ii)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(iii)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copii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justificative,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constituie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motivele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detașarea;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spitalului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plătitor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contract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determinată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nedeterminată;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plecare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aleasă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confirmat;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detașeze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acceptul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complementar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un medic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decât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arondate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"https://legislatie.just.ro/Public/DetaliiDocumentAfis/220169"</w:instrText>
      </w:r>
      <w:r w:rsidR="00000000">
        <w:fldChar w:fldCharType="separate"/>
      </w:r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Ordonanței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Guvernului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18/2009</w:t>
      </w:r>
      <w:r w:rsidR="00000000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finanțarea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"https://legislatie.just.ro/Public/DetaliiDocumentAfis/139426"</w:instrText>
      </w:r>
      <w:r w:rsidR="00000000">
        <w:fldChar w:fldCharType="separate"/>
      </w:r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Legea</w:t>
      </w:r>
      <w:proofErr w:type="spellEnd"/>
      <w:r w:rsidRPr="0031598A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nr. 103/2012</w:t>
      </w:r>
      <w:r w:rsidR="00000000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fldChar w:fldCharType="end"/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ulterioare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 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decurg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revin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.(4) Nu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consideră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module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decât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arondate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sens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elibera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rotație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favorabil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400D8A6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21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capacităților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disponibile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transmise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facultăți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vederea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dorește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continue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justificative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motivele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solicitării;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plecare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conducerii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conducerii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superior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profil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post,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loc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justificate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absența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 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. (2) lit. c)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Criteriile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analiză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sunt: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(VI, V, …. I);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susținător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copil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minor;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soț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loc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solicitat;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locuință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puțin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100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km;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părinți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bolnavi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persoane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întreținere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solicitat;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didactic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solicitat.Criteriile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enumerată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sus.</w:t>
      </w:r>
    </w:p>
    <w:p w14:paraId="4C69FF09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22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-un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sunt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mulți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aceeași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inițială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I)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face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descrescătoare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punctajului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obținut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aceluiași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maximum 5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îndrumător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0DA67212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23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Rezidenții pe loc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aceluiași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conducerilor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implicate.</w:t>
      </w:r>
    </w:p>
    <w:p w14:paraId="50C061DE" w14:textId="1969DF41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24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Schimbarea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realiza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justificate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solicitantul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trebuie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îndeplinească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cumulativ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criterii: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24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punctajul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minim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cerută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familie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indiferent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face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dovada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justificate;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beneficiat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schimbare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aceluiași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concurs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14858B9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25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evidență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informatică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precum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propunerilor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instituțiilor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învățământ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medical superior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dispoziția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curricular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stabilit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disponibile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avizul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face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limita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numărului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locuri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stabilit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exprimării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preferințelor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punctajului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obținut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concursul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transmit lunar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acestuia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modificările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distribuția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2CC2D251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26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Repartizarea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denumită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continuare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realizează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farmacistului-șef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FF682E2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27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(1) Cu minimum 30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înainte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specialiștii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înscriși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de-a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regim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depune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conform 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anexei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 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regulament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urmează: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modelului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anexa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face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integrantă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regulament;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complementare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modelului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anexa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face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integrantă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regulament;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asigure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alege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liber,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rotațiile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centralizează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original, pe care 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transmite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săptămânal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însoțite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copie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carnetului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prima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pagină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Posesorii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rotație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depună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dovada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plății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zi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 xml:space="preserve">de-a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lipsa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dovezii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 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. (2)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rotația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nu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41579F83" w14:textId="598F43D3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28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județeană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prelucrează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întocmește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adresă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transmis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adresă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care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contractul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specialiștilor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județeană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întocmește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adresa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/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Cu 5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înainte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începerea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transmite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care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venit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solicitările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adresele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08DFF25A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29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adreselor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 </w:t>
      </w:r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art. 28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specialiștii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taxă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obligația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depună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laboratorul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02858C1D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30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consemnată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carnet,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specialiștii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depune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sanitară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s-a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o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copie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carnetului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- prima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pagină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pagina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rezulte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finalizarea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notei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finale.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copii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transmise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0B2CB99F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31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Validarea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stagiilor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parcursul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fiecărui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an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publică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județeană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municipiului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București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FA2B7CF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32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Aplicarea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vizei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anuale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serviciul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resurse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umane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angajatoare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documentelor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dosarul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personal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pontaje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întreruperi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asemenea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).</w:t>
      </w:r>
    </w:p>
    <w:p w14:paraId="4215A1D8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33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pot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închiria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prioritate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loc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căminele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spațiile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anexate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spitalelor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repartizați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detașați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42ED61FF" w14:textId="77777777" w:rsidR="00EF24DD" w:rsidRDefault="0031598A">
      <w:pPr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Secţiunea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3-a 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Prevederi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generale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privind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finală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obținerea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certificatului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</w:t>
      </w:r>
    </w:p>
    <w:p w14:paraId="3BBCA1FF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34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Evaluarea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finală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are loc sub forma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specialist, medic dentist/medic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stomatolog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două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pe an,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structura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face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după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integrală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programului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certificată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către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directorul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Caietului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monitorizare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acreditate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asigură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.(3)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susținerea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opta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centrele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minimum 6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șase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56D8B776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35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examen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soluționare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contestațiilor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obținerea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titlului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specialist, medic dentist/medic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stomatolog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farmacist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specialist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componență: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președinte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didactic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grad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predare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2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puțin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didactic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universitar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predare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;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doilea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gradul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primar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având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titlul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științific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doctor;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secretar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nominalizat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președintele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 </w:t>
      </w:r>
      <w:proofErr w:type="spellStart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alin</w:t>
      </w:r>
      <w:proofErr w:type="spellEnd"/>
      <w:r w:rsidRPr="0031598A">
        <w:rPr>
          <w:rFonts w:ascii="Verdana" w:eastAsia="Times New Roman" w:hAnsi="Verdana" w:cs="Times New Roman"/>
          <w:color w:val="006400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eastAsia="en-GB"/>
          <w14:ligatures w14:val="none"/>
        </w:rPr>
        <w:t>. (1)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 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completează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câte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un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supleant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desemnați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oricăreia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incapacitate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temporară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muncă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alte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prevăzute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lege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această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supleanți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deveni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drepturi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depline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concurs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soluționare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contestațiilor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.(3) Nu pot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concurs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soluționare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contestațiilor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persoanele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care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soț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soție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rudă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afin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până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gradul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IV-lea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inclusiv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candidați;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relații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caracter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patrimonial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interese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patrimoniale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candidați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.(4)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Situația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incompatibilitate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sesizată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persoana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cauză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președintele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oricare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candidați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acest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caz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iau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măsuri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înlocuire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dintre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membrii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supleanți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desemnați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termen de maximum 3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la data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sesizării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.(5)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desfășoară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conform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metodologiei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generale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elaborate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structura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ordin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comun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al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ministrului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educației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cercetării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Formularea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subiectelor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examen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baremelor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corectură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întreaga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responsabilitate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desfășurării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revin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comisiei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examen.</w:t>
      </w:r>
    </w:p>
    <w:p w14:paraId="374FF5CE" w14:textId="77777777" w:rsidR="00EF24DD" w:rsidRDefault="0031598A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proofErr w:type="spellStart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Articolul</w:t>
      </w:r>
      <w:proofErr w:type="spellEnd"/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36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(1)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cuprinde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următoarele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probe: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 cu 10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zece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subiecte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formulate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durată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3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trei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ore, cu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excepția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specialităților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anestezie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terapie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intensivă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respectiv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medicină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urgență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care au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regulamente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desfășurare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specifice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pentru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scrisă;</w:t>
      </w:r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</w:t>
      </w:r>
      <w:proofErr w:type="spellEnd"/>
      <w:r w:rsidRPr="0031598A">
        <w:rPr>
          <w:rFonts w:ascii="Verdana" w:eastAsia="Times New Roman" w:hAnsi="Verdana" w:cs="Times New Roman"/>
          <w:b/>
          <w:bCs/>
          <w:color w:val="8B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)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dotted" w:sz="6" w:space="0" w:color="FEFEFE" w:frame="1"/>
          <w:shd w:val="clear" w:color="auto" w:fill="FFFFFF"/>
          <w:lang w:eastAsia="en-GB"/>
          <w14:ligatures w14:val="none"/>
        </w:rPr>
        <w:t> 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probe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/practice.(2) 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Candidatul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este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confirmat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medic 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dacă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promovează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cu minimum nota 7,00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fiecare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probă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Candidatul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se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poate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prezenta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examenul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medic 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sesiunile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organizate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Ministerul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Sănătății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decurs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5 (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cinci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) ani de 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încheierea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pregătirii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.</w:t>
      </w:r>
    </w:p>
    <w:p w14:paraId="48157071" w14:textId="173F1425" w:rsidR="00730E40" w:rsidRPr="00EF24DD" w:rsidRDefault="0031598A">
      <w:pPr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31598A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>ANEXĂ</w:t>
      </w:r>
      <w:r w:rsidR="00EF24DD">
        <w:rPr>
          <w:rFonts w:ascii="Verdana" w:eastAsia="Times New Roman" w:hAnsi="Verdana" w:cs="Times New Roman"/>
          <w:b/>
          <w:bCs/>
          <w:color w:val="00008B"/>
          <w:kern w:val="0"/>
          <w:sz w:val="20"/>
          <w:szCs w:val="20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la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regulament</w:t>
      </w:r>
      <w:proofErr w:type="spellEnd"/>
      <w:r w:rsidR="00EF24DD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acord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CERERESubsemnatul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(a), .........................................................., cod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lastRenderedPageBreak/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.....................................................,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/specialist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.............................,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vă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rog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binevoiți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a-mi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aproba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efectuarea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modulului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specialitatea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...................,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curriculumul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pregătire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,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perioada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..........................., sub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dumneavoastră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îndrumarea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........................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în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secția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clinică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................................ din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cadrul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Spitalului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.....................................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  <w:t>Data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  <w:t>.................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Semnătura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  <w:t>.......................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Domnului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prof. univ./conf. univ./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șef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lucrări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dr.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,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  <w:t>............................................................................</w:t>
      </w:r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Coordonator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de program de </w:t>
      </w:r>
      <w:proofErr w:type="spellStart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rezidențiat</w:t>
      </w:r>
      <w:proofErr w:type="spellEnd"/>
      <w:r w:rsidRPr="0031598A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-----</w:t>
      </w:r>
    </w:p>
    <w:sectPr w:rsidR="00730E40" w:rsidRPr="00EF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8A"/>
    <w:rsid w:val="0031598A"/>
    <w:rsid w:val="003247F4"/>
    <w:rsid w:val="00730E40"/>
    <w:rsid w:val="00E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13FD"/>
  <w15:chartTrackingRefBased/>
  <w15:docId w15:val="{D23DA581-E7DE-4AF8-A9B7-E81ED75E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98A"/>
    <w:rPr>
      <w:b/>
      <w:bCs/>
      <w:smallCaps/>
      <w:color w:val="0F4761" w:themeColor="accent1" w:themeShade="BF"/>
      <w:spacing w:val="5"/>
    </w:rPr>
  </w:style>
  <w:style w:type="character" w:customStyle="1" w:styleId="sden">
    <w:name w:val="s_den"/>
    <w:basedOn w:val="DefaultParagraphFont"/>
    <w:rsid w:val="0031598A"/>
  </w:style>
  <w:style w:type="character" w:customStyle="1" w:styleId="shdr">
    <w:name w:val="s_hdr"/>
    <w:basedOn w:val="DefaultParagraphFont"/>
    <w:rsid w:val="0031598A"/>
  </w:style>
  <w:style w:type="character" w:styleId="Hyperlink">
    <w:name w:val="Hyperlink"/>
    <w:basedOn w:val="DefaultParagraphFont"/>
    <w:uiPriority w:val="99"/>
    <w:semiHidden/>
    <w:unhideWhenUsed/>
    <w:rsid w:val="0031598A"/>
    <w:rPr>
      <w:color w:val="0000FF"/>
      <w:u w:val="single"/>
    </w:rPr>
  </w:style>
  <w:style w:type="character" w:customStyle="1" w:styleId="semtttl">
    <w:name w:val="s_emt_ttl"/>
    <w:basedOn w:val="DefaultParagraphFont"/>
    <w:rsid w:val="0031598A"/>
  </w:style>
  <w:style w:type="character" w:customStyle="1" w:styleId="semtbdy">
    <w:name w:val="s_emt_bdy"/>
    <w:basedOn w:val="DefaultParagraphFont"/>
    <w:rsid w:val="0031598A"/>
  </w:style>
  <w:style w:type="character" w:customStyle="1" w:styleId="spubttl">
    <w:name w:val="s_pub_ttl"/>
    <w:basedOn w:val="DefaultParagraphFont"/>
    <w:rsid w:val="0031598A"/>
  </w:style>
  <w:style w:type="character" w:customStyle="1" w:styleId="spubbdy">
    <w:name w:val="s_pub_bdy"/>
    <w:basedOn w:val="DefaultParagraphFont"/>
    <w:rsid w:val="0031598A"/>
  </w:style>
  <w:style w:type="character" w:customStyle="1" w:styleId="spar">
    <w:name w:val="s_par"/>
    <w:basedOn w:val="DefaultParagraphFont"/>
    <w:rsid w:val="0031598A"/>
  </w:style>
  <w:style w:type="character" w:customStyle="1" w:styleId="sartttl">
    <w:name w:val="s_art_ttl"/>
    <w:basedOn w:val="DefaultParagraphFont"/>
    <w:rsid w:val="0031598A"/>
  </w:style>
  <w:style w:type="character" w:customStyle="1" w:styleId="slgi">
    <w:name w:val="s_lgi"/>
    <w:basedOn w:val="DefaultParagraphFont"/>
    <w:rsid w:val="0031598A"/>
  </w:style>
  <w:style w:type="character" w:customStyle="1" w:styleId="ssmnpar">
    <w:name w:val="s_smn_par"/>
    <w:basedOn w:val="DefaultParagraphFont"/>
    <w:rsid w:val="0031598A"/>
  </w:style>
  <w:style w:type="character" w:customStyle="1" w:styleId="sanxttl">
    <w:name w:val="s_anx_ttl"/>
    <w:basedOn w:val="DefaultParagraphFont"/>
    <w:rsid w:val="0031598A"/>
  </w:style>
  <w:style w:type="character" w:customStyle="1" w:styleId="apar">
    <w:name w:val="a_par"/>
    <w:basedOn w:val="DefaultParagraphFont"/>
    <w:rsid w:val="0031598A"/>
  </w:style>
  <w:style w:type="character" w:customStyle="1" w:styleId="ssecttl">
    <w:name w:val="s_sec_ttl"/>
    <w:basedOn w:val="DefaultParagraphFont"/>
    <w:rsid w:val="0031598A"/>
  </w:style>
  <w:style w:type="character" w:customStyle="1" w:styleId="ssecden">
    <w:name w:val="s_sec_den"/>
    <w:basedOn w:val="DefaultParagraphFont"/>
    <w:rsid w:val="0031598A"/>
  </w:style>
  <w:style w:type="character" w:customStyle="1" w:styleId="saln">
    <w:name w:val="s_aln"/>
    <w:basedOn w:val="DefaultParagraphFont"/>
    <w:rsid w:val="0031598A"/>
  </w:style>
  <w:style w:type="character" w:customStyle="1" w:styleId="salnttl">
    <w:name w:val="s_aln_ttl"/>
    <w:basedOn w:val="DefaultParagraphFont"/>
    <w:rsid w:val="0031598A"/>
  </w:style>
  <w:style w:type="character" w:customStyle="1" w:styleId="salnbdy">
    <w:name w:val="s_aln_bdy"/>
    <w:basedOn w:val="DefaultParagraphFont"/>
    <w:rsid w:val="0031598A"/>
  </w:style>
  <w:style w:type="character" w:customStyle="1" w:styleId="slit">
    <w:name w:val="s_lit"/>
    <w:basedOn w:val="DefaultParagraphFont"/>
    <w:rsid w:val="0031598A"/>
  </w:style>
  <w:style w:type="character" w:customStyle="1" w:styleId="slitttl">
    <w:name w:val="s_lit_ttl"/>
    <w:basedOn w:val="DefaultParagraphFont"/>
    <w:rsid w:val="0031598A"/>
  </w:style>
  <w:style w:type="character" w:customStyle="1" w:styleId="slitbdy">
    <w:name w:val="s_lit_bdy"/>
    <w:basedOn w:val="DefaultParagraphFont"/>
    <w:rsid w:val="0031598A"/>
  </w:style>
  <w:style w:type="character" w:customStyle="1" w:styleId="spct">
    <w:name w:val="s_pct"/>
    <w:basedOn w:val="DefaultParagraphFont"/>
    <w:rsid w:val="0031598A"/>
  </w:style>
  <w:style w:type="character" w:customStyle="1" w:styleId="spctttl">
    <w:name w:val="s_pct_ttl"/>
    <w:basedOn w:val="DefaultParagraphFont"/>
    <w:rsid w:val="0031598A"/>
  </w:style>
  <w:style w:type="character" w:customStyle="1" w:styleId="spctbdy">
    <w:name w:val="s_pct_bdy"/>
    <w:basedOn w:val="DefaultParagraphFont"/>
    <w:rsid w:val="0031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27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2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23556" TargetMode="External"/><Relationship Id="rId5" Type="http://schemas.openxmlformats.org/officeDocument/2006/relationships/hyperlink" Target="https://legislatie.just.ro/Public/DetaliiDocumentAfis/2256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islatie.just.ro/Public/DetaliiDocumentAfis/2201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5850</Words>
  <Characters>33351</Characters>
  <Application>Microsoft Office Word</Application>
  <DocSecurity>0</DocSecurity>
  <Lines>277</Lines>
  <Paragraphs>78</Paragraphs>
  <ScaleCrop>false</ScaleCrop>
  <Company/>
  <LinksUpToDate>false</LinksUpToDate>
  <CharactersWithSpaces>39123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 generala</dc:creator>
  <cp:keywords/>
  <dc:description/>
  <cp:lastModifiedBy>medicina generala</cp:lastModifiedBy>
  <cp:revision>2</cp:revision>
  <dcterms:created xsi:type="dcterms:W3CDTF">2024-03-21T08:40:00Z</dcterms:created>
  <dcterms:modified xsi:type="dcterms:W3CDTF">2024-03-21T08:53:00Z</dcterms:modified>
</cp:coreProperties>
</file>