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1D0C" w14:textId="77777777" w:rsidR="00CF6554" w:rsidRPr="00CF6554" w:rsidRDefault="00CF6554" w:rsidP="00CF65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6554">
        <w:rPr>
          <w:rFonts w:ascii="Verdana" w:eastAsia="Times New Roman" w:hAnsi="Verdana" w:cs="Times New Roman"/>
          <w:b/>
          <w:bCs/>
          <w:color w:val="8B0000"/>
          <w:kern w:val="0"/>
          <w:sz w:val="30"/>
          <w:szCs w:val="30"/>
          <w:bdr w:val="none" w:sz="0" w:space="0" w:color="auto" w:frame="1"/>
          <w:shd w:val="clear" w:color="auto" w:fill="FFFFFF"/>
          <w:lang w:eastAsia="en-GB"/>
          <w14:ligatures w14:val="none"/>
        </w:rPr>
        <w:t>ORDONANŢĂ nr. 18 din 29 august 2009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privind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finanţarea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rezidenţiatului</w:t>
      </w:r>
      <w:proofErr w:type="spellEnd"/>
    </w:p>
    <w:tbl>
      <w:tblPr>
        <w:tblW w:w="9350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5493"/>
      </w:tblGrid>
      <w:tr w:rsidR="00CF6554" w:rsidRPr="00CF6554" w14:paraId="2E200496" w14:textId="77777777" w:rsidTr="00CF65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CB363D" w14:textId="77777777" w:rsidR="00CF6554" w:rsidRPr="00CF6554" w:rsidRDefault="00CF6554" w:rsidP="00CF65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</w:pPr>
            <w:r w:rsidRPr="00CF65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EMITENT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ECBD1D" w14:textId="77777777" w:rsidR="00CF6554" w:rsidRPr="00CF6554" w:rsidRDefault="00CF6554" w:rsidP="00CF65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</w:pPr>
            <w:proofErr w:type="gramStart"/>
            <w:r w:rsidRPr="00CF6554">
              <w:rPr>
                <w:rFonts w:ascii="Verdana" w:eastAsia="Times New Roman" w:hAnsi="Symbol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</w:t>
            </w:r>
            <w:r w:rsidRPr="00CF6554">
              <w:rPr>
                <w:rFonts w:ascii="Verdana" w:eastAsia="Times New Roman" w:hAnsi="Verdana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 xml:space="preserve">  GUVERNUL</w:t>
            </w:r>
            <w:proofErr w:type="gramEnd"/>
          </w:p>
        </w:tc>
      </w:tr>
    </w:tbl>
    <w:p w14:paraId="24F48541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>Publicat</w:t>
      </w:r>
      <w:proofErr w:type="spellEnd"/>
      <w:r w:rsidRPr="00CF655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>  </w:t>
      </w:r>
      <w:r w:rsidRPr="00CF6554">
        <w:rPr>
          <w:rFonts w:ascii="Verdana" w:eastAsia="Times New Roman" w:hAnsi="Verdana" w:cs="Arial"/>
          <w:b/>
          <w:bCs/>
          <w:color w:val="00008B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>MONITORUL</w:t>
      </w:r>
      <w:proofErr w:type="gramEnd"/>
      <w:r w:rsidRPr="00CF6554">
        <w:rPr>
          <w:rFonts w:ascii="Verdana" w:eastAsia="Times New Roman" w:hAnsi="Verdana" w:cs="Arial"/>
          <w:b/>
          <w:bCs/>
          <w:color w:val="00008B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OFICIAL nr. 601 din 31 august 2009</w:t>
      </w:r>
      <w:r w:rsidRPr="00CF6554">
        <w:rPr>
          <w:rFonts w:ascii="Verdana" w:eastAsia="Times New Roman" w:hAnsi="Verdana" w:cs="Times New Roman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r w:rsidRPr="00CF6554">
        <w:rPr>
          <w:rFonts w:ascii="Verdana" w:eastAsia="Times New Roman" w:hAnsi="Verdana" w:cs="Times New Roman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r w:rsidRPr="00CF6554">
        <w:rPr>
          <w:rFonts w:ascii="Verdana" w:eastAsia="Times New Roman" w:hAnsi="Verdana" w:cs="Times New Roman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r w:rsidRPr="00CF6554">
        <w:rPr>
          <w:rFonts w:ascii="Verdana" w:eastAsia="Times New Roman" w:hAnsi="Verdana" w:cs="Times New Roman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temeiul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hyperlink r:id="rId4" w:anchor="id_artA591" w:history="1">
        <w:r w:rsidRPr="00CF6554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art. 108 din </w:t>
        </w:r>
        <w:proofErr w:type="spellStart"/>
        <w:r w:rsidRPr="00CF6554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Constituţia</w:t>
        </w:r>
        <w:proofErr w:type="spellEnd"/>
        <w:r w:rsidRPr="00CF6554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</w:t>
        </w:r>
        <w:proofErr w:type="spellStart"/>
        <w:r w:rsidRPr="00CF6554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României</w:t>
        </w:r>
        <w:proofErr w:type="spellEnd"/>
        <w:r w:rsidRPr="00CF6554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, </w:t>
        </w:r>
        <w:proofErr w:type="spellStart"/>
        <w:r w:rsidRPr="00CF6554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republicată</w:t>
        </w:r>
        <w:proofErr w:type="spellEnd"/>
      </w:hyperlink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 </w:t>
      </w:r>
      <w:hyperlink r:id="rId5" w:anchor="id_artA12" w:history="1">
        <w:r w:rsidRPr="00CF6554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art. 1, pct. V.1 din </w:t>
        </w:r>
        <w:proofErr w:type="spellStart"/>
        <w:r w:rsidRPr="00CF6554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Legea</w:t>
        </w:r>
        <w:proofErr w:type="spellEnd"/>
        <w:r w:rsidRPr="00CF6554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nr. 253/2009</w:t>
        </w:r>
      </w:hyperlink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abilitarea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Guvernului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emite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ordonanţe,Guvernul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adoptă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ordonanţă.</w:t>
      </w:r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Capitolul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 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Secţiunea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1 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Dispoziţii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generale</w:t>
      </w:r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reprezintă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forma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specifică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postuniversitar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licenţiaţi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asigură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necesară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cuprinse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reţeaua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stabilesc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0EA8E152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: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selecţie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are o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cuprinsă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7 ani,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reprezintă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proces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continuu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teoretică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fiind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normată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didactică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didactice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conformitate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curs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aplicaţii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Cifra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şcolarizare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393D8B10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admiterea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admiterea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test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selecţie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metodologii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Rezultatele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rezultatele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selecţiei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selecţia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devin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Începând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sesiunea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2010,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acces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vederea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selecţie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metodologii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4A764D45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4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înscrierea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selecţia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percepe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cărei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cuantum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stabileşte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Sumele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încasate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plata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venit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bugetul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Perfecţionare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Domeniul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utilizează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acoperirea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cheltuielilor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personal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materiale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necesare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susţinerii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selecţiei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sumele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rămase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disponibile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reportează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utilizează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aceeaşi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destinaţie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Perfecţionare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Domeniul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utiliza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colaboratori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35DC7A1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5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Preparatorii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normei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didactice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Admiterea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didactice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face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aceleaşi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absolvent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medical.</w:t>
      </w:r>
    </w:p>
    <w:p w14:paraId="6B679942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6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Niciun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medic, medic dentist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acelaşi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timp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multe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distincte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încetează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situaţii:a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la data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Carnetului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rezidentului;b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oricare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contractului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individual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lege;c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renunţare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expresă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formulată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scris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Sănătăţii;d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incompatibilitate;e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Prin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incompatibilitate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sensul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(2) lit. d),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înţelege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un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parcursul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susţine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alt concurs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.(4)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-o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incompatibilitate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aduce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cunoştinţa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această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scris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termen de 15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zile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data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apariţiei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acesteia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la data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intrării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vigoare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ordonanţe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.(5)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termen de 15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zile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expirarea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termenului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(4),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trebuie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opteze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-o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singură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6)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stare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incompatibilitate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exprimă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opţiunea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potrivit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(5),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incompatibilitate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continuă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existe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consideră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renunţat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dobândită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anterior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apariţiei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incompatibilitate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fapt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fiind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constatat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4D668407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7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acces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postuniversitar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uman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73937853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8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Întreaga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desfăşoară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sub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autoritatea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colaborare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Perfecţionare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Domeniul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rolul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gestiona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nivel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înfiinţarea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matricol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asigurarea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logisticii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necesare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desfăşurării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FA16515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9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desfăşoară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mod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descentralizat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regional,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nivelul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departamentele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postuniversitar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medical, medico-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propun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Perfecţionare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Domeniul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program, precum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(2) se face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4)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îndeplinirea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sarcini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suplimentare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pot beneficia,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conformitate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plată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indemnizaţii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6856BA29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10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desfăşoară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conform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curriculum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manopere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proceduri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tehnici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diagnostice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terapeutice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obligatorii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ţară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Regulamentul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sunt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propuse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consultative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Perfecţionare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Domeniul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consultarea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.(4)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transmit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tuturor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instituţiilor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desfăşoare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integral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tuturor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reţeaua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.(5)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teoretică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reprezentată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manopere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proceduri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tehnici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diagnostice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terapeutice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consemnată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caracter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obligatoriu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netransmisibile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denumite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Carnetul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7E88F2CF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11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închiria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loc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căminele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spaţiile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anexate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spitalelor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unde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fost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repartizaţi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detaşaţi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cămine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01C0B9EF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12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inclusiv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cabinete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individuale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reţea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proprie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propunerilor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capacităţile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Criteriile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procedurile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reacreditare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C8D4F4C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13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Cheltuielile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personal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aferente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suportă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totalitate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bugetul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stat,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maxime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optează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(1)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contract individual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determinată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doveditoare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frecventarea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emise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care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Începând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III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fi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incluşi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normal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răspunderea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sub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supravegherea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titular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deţine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.(4)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gărzi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normal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sunt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salarizaţi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această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unde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garda,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7B853A58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14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Pentru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reţeaua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elaborează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Fişa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caracter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conţinut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general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obligatorii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cuprindă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competenţă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acestuia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3F0B31D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15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eliberează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diplome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Etapa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ulterioară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încheierii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constituie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titlului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medic, medic dentist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specialist,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cuprinzând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probă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scrisă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probe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practice.(3)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generală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s-a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susţine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faţa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propuse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profesionale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numite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.(4) La examen se pot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integral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obţinut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diploma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eliberată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.(5) Prin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excepţie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(4), la examen se pot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ultimele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6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luni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dinaintea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integrale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propunerii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numai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aceştia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.(6)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susţinut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termen de maximum 5 ani de la data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încheierii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.(7)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titlul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specialist, de medic 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 xml:space="preserve">dentist specialist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specialist,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.(8)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Metodologia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desfăşurării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probelor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titlului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medic, medic dentist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specialist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70BF4AC9" w14:textId="75A4F24F" w:rsidR="009213D9" w:rsidRDefault="00CF6554">
      <w:pPr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Secţiunea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2-a 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</w:p>
    <w:p w14:paraId="1890B55E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16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Admiterea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face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nivelul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instituţiilor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medical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sesiune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trimestrul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IV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fiecărui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an.(2)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metodologii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aleg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loc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sunt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devenind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ales.</w:t>
      </w:r>
    </w:p>
    <w:p w14:paraId="2906513C" w14:textId="220AEF72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17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necesităţile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teritoriu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contract individual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determinată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egală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aleasă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care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fost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repartizate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7D904097" w14:textId="77777777" w:rsidR="009213D9" w:rsidRDefault="00CF6554">
      <w:pPr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Secţiunea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3-a 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</w:t>
      </w:r>
    </w:p>
    <w:p w14:paraId="740FB288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18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trimestrul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IV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fiecărui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an,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solicitate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reţeaua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reţea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proprie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reţeaua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numai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zone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deficitare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punctul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vedere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asigurării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asistenţei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reşedinţa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judeţ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numai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funcţionează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75%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puţin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personal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normat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stabilit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celelalte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judeţ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numai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funcţionează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75%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puţin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personal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normat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stabilit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.(4)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spitalele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institute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centre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spitalele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regionale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post.(5) Prin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excepţie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(4),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deficitare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care sunt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stabilite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6)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ocupă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 xml:space="preserve">care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(1)-(3)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contract individual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nedeterminată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legislaţia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vigoare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7)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contract individual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înainte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începerea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Prin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contract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care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contractul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individual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ani egal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corespunzătoare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8)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(7)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stabileşte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act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adiţional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contractul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individual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temeiul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art. 193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(2)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53/2003 -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Codul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completările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ulterioare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Nerespectarea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salariat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asumate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suportarea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tuturor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cheltuielilor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ocazionate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profesională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cheltuielilor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personal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restituirea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instalare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proporţional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nelucrată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stabilită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conform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adiţional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contractul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individual de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9)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(7) nu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reorganizare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desfiinţată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10)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(7)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restructurării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reducerea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6F53123F" w14:textId="77777777" w:rsidR="009213D9" w:rsidRDefault="00CF6554">
      <w:pPr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Capitolul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II A 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</w:p>
    <w:p w14:paraId="70022460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19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Posesorii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certificatului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specialist pot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de-a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regim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modalităţi:a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susţinerea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legale;b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înscrierea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oricare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reţeaua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conform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absolvite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Cuantumul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stabileşte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propunerea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Perfecţionare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Domeniul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mod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corespunzător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ambelor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modalităţi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de-a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 (1</w:t>
      </w:r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Dispoziţiile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referitoare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Regulamentul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art. 10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(2),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mod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corespunzător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ambelor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modalităţi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de-a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 (1).</w:t>
      </w:r>
    </w:p>
    <w:p w14:paraId="253C0D43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frecvenţă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totală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curriculum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manopere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proceduri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tehnici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diagnostice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terapeutice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identice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asigură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acelaşi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nivel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aceeaşi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2) Prin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excepţie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(1),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prima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similare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conţinut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 xml:space="preserve">care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regăsesc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de-a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echivalează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Echivalarea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face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învăţământ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1B16E9B8" w14:textId="7DB5098B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21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Posesorii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certificatului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specialist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asimilate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asimilare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fără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fără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793A704C" w14:textId="77777777" w:rsidR="009213D9" w:rsidRDefault="00CF6554">
      <w:pPr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Capitolul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III Drept de 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liberă</w:t>
      </w:r>
      <w:proofErr w:type="spellEnd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</w:p>
    <w:p w14:paraId="1AE51771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22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Începând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2005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absolvenţi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licenţiaţi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dobândirea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liberă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face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</w:t>
      </w:r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specialist.(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nu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obţinută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pot continua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 se face,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parcurgerea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integrală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această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decât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reconversie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profesională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pot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minimum 6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luni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.(4)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vederea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(3),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analizează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măsură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specialist, precum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experienţa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profesională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însuşită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înlocui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stabilesc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fi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5)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conţinutul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(2)-(4),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stabilesc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potrivit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art. 10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(3).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439CF7C9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23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Absolvenţii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dar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fi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încadraţi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contract individual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cabinete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individuale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sub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liberă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beneficiind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încadrarea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salarizarea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corespunzătoare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ultimului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an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funcţie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fost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1A83A3FF" w14:textId="77777777" w:rsidR="009213D9" w:rsidRDefault="00CF6554">
      <w:pPr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Capitolul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IV 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Dispoziţii</w:t>
      </w:r>
      <w:proofErr w:type="spellEnd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tranzitorii</w:t>
      </w:r>
      <w:proofErr w:type="spellEnd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b/>
          <w:bCs/>
          <w:color w:val="A52A2A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finale</w:t>
      </w:r>
    </w:p>
    <w:p w14:paraId="64E34403" w14:textId="77DAA89E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24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licenţiaţi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anterior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2005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dobândesc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liberă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stagiaturii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un an.(2) Pe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stagiaturii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personal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licenţiaţi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anterior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2005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suportă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bugetul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stat.(3)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desfăşurată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farmaciştii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anterioare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2005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graniţelor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echivalată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stagiatura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un an,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România.</w:t>
      </w:r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25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Începând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2005,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licenţiaţi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liberă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odată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dobândirea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licenţei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993A07C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26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Înscrierea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face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imediat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înaintea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stagiatură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vederea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asigurării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posibilităţii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specializărilor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vârste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apropiate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tendinţele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actuale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standardelor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internaţionale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licenţiaţi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anterior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2005, care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devin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(1),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dobândesc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liberă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an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conform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anterioare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1E86D3B6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27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aflaţi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forma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post,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menţine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obligaţia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adiţionale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contractele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individuale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care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contractul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individual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puţin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ani egal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corespunzătoare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desfăşoară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potrivit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dispoziţiilor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ordonanţe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B327FFC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28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Specialiştii care au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forma pe post, pot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obţine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îndeplinirea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adiţional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contractul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75CF7CA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29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cetăţeni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ai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alt stat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decât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statele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Uniunii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Europene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statele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aparţinând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Spaţiului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Economic European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Confederaţiei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Elveţiene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specializare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specialităţilor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reţeaua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Specializarea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face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sfârşitul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specializării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condiţiilor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sesiune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F57408F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30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Dispoziţiile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ordonanţe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afectează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drepturile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câştigate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potrivit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legislaţiei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anterioare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2)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Normele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metodologice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ordonanţe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termen de 6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luni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intrarea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vigoare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act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normativ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6101780A" w14:textId="77777777" w:rsidR="009213D9" w:rsidRDefault="00CF6554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31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Pe data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intrării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vigoare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ordonanţe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abrogă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begin"/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instrText>HYPERLINK "https://legislatie.just.ro/Public/DetaliiDocumentAfis/89242"</w:instrTex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separate"/>
      </w:r>
      <w:r w:rsidRPr="00CF6554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Ordonanţa</w:t>
      </w:r>
      <w:proofErr w:type="spellEnd"/>
      <w:r w:rsidRPr="00CF6554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Guvernului</w:t>
      </w:r>
      <w:proofErr w:type="spellEnd"/>
      <w:r w:rsidRPr="00CF6554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12/2008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end"/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finanţarea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rezidenţiatului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Oficial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I, nr. 81 din 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 xml:space="preserve">1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februarie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2008,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completări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begin"/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instrText>HYPERLINK "https://legislatie.just.ro/Public/DetaliiDocumentAfis/98140"</w:instrTex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separate"/>
      </w:r>
      <w:r w:rsidRPr="00CF6554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Legea</w:t>
      </w:r>
      <w:proofErr w:type="spellEnd"/>
      <w:r w:rsidRPr="00CF6554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179/2008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end"/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11763FEF" w14:textId="41547B0D" w:rsidR="00730E40" w:rsidRDefault="00CF6554">
      <w:proofErr w:type="spellStart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CF6554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32</w:t>
      </w:r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Prezenta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ordonanţă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intră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vigoare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3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zile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data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Oficial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Partea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gram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I.PRIM</w:t>
      </w:r>
      <w:proofErr w:type="gram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-MINISTRUEMIL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BOCContrasemnează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:---------------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sănătăţii,Ion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BazacMinistrul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muncii,familiei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protecţiei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sociale,Marian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SârbuMinistrul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educaţiei,cercetării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şi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inovării,Ecaterina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AndronescuMinistrul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finanţelor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publice,Gheorghe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PogeaBucureşti</w:t>
      </w:r>
      <w:proofErr w:type="spellEnd"/>
      <w:r w:rsidRPr="00CF6554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29 august 2009.Nr. 18.---------</w:t>
      </w:r>
    </w:p>
    <w:sectPr w:rsidR="00730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54"/>
    <w:rsid w:val="003247F4"/>
    <w:rsid w:val="00730E40"/>
    <w:rsid w:val="009213D9"/>
    <w:rsid w:val="00C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60B6"/>
  <w15:chartTrackingRefBased/>
  <w15:docId w15:val="{B8D3014F-6843-485F-AC4D-D9B6C6C5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554"/>
    <w:rPr>
      <w:b/>
      <w:bCs/>
      <w:smallCaps/>
      <w:color w:val="0F4761" w:themeColor="accent1" w:themeShade="BF"/>
      <w:spacing w:val="5"/>
    </w:rPr>
  </w:style>
  <w:style w:type="character" w:customStyle="1" w:styleId="sden">
    <w:name w:val="s_den"/>
    <w:basedOn w:val="DefaultParagraphFont"/>
    <w:rsid w:val="00CF6554"/>
  </w:style>
  <w:style w:type="character" w:customStyle="1" w:styleId="spar">
    <w:name w:val="s_par"/>
    <w:basedOn w:val="DefaultParagraphFont"/>
    <w:rsid w:val="00CF6554"/>
  </w:style>
  <w:style w:type="character" w:customStyle="1" w:styleId="semtttl">
    <w:name w:val="s_emt_ttl"/>
    <w:basedOn w:val="DefaultParagraphFont"/>
    <w:rsid w:val="00CF6554"/>
  </w:style>
  <w:style w:type="character" w:customStyle="1" w:styleId="semtbdy">
    <w:name w:val="s_emt_bdy"/>
    <w:basedOn w:val="DefaultParagraphFont"/>
    <w:rsid w:val="00CF6554"/>
  </w:style>
  <w:style w:type="character" w:customStyle="1" w:styleId="spubttl">
    <w:name w:val="s_pub_ttl"/>
    <w:basedOn w:val="DefaultParagraphFont"/>
    <w:rsid w:val="00CF6554"/>
  </w:style>
  <w:style w:type="character" w:customStyle="1" w:styleId="spubbdy">
    <w:name w:val="s_pub_bdy"/>
    <w:basedOn w:val="DefaultParagraphFont"/>
    <w:rsid w:val="00CF6554"/>
  </w:style>
  <w:style w:type="character" w:styleId="Hyperlink">
    <w:name w:val="Hyperlink"/>
    <w:basedOn w:val="DefaultParagraphFont"/>
    <w:uiPriority w:val="99"/>
    <w:semiHidden/>
    <w:unhideWhenUsed/>
    <w:rsid w:val="00CF6554"/>
    <w:rPr>
      <w:color w:val="0000FF"/>
      <w:u w:val="single"/>
    </w:rPr>
  </w:style>
  <w:style w:type="character" w:customStyle="1" w:styleId="scapttl">
    <w:name w:val="s_cap_ttl"/>
    <w:basedOn w:val="DefaultParagraphFont"/>
    <w:rsid w:val="00CF6554"/>
  </w:style>
  <w:style w:type="character" w:customStyle="1" w:styleId="scapden">
    <w:name w:val="s_cap_den"/>
    <w:basedOn w:val="DefaultParagraphFont"/>
    <w:rsid w:val="00CF6554"/>
  </w:style>
  <w:style w:type="character" w:customStyle="1" w:styleId="ssecttl">
    <w:name w:val="s_sec_ttl"/>
    <w:basedOn w:val="DefaultParagraphFont"/>
    <w:rsid w:val="00CF6554"/>
  </w:style>
  <w:style w:type="character" w:customStyle="1" w:styleId="ssecden">
    <w:name w:val="s_sec_den"/>
    <w:basedOn w:val="DefaultParagraphFont"/>
    <w:rsid w:val="00CF6554"/>
  </w:style>
  <w:style w:type="character" w:customStyle="1" w:styleId="sartttl">
    <w:name w:val="s_art_ttl"/>
    <w:basedOn w:val="DefaultParagraphFont"/>
    <w:rsid w:val="00CF6554"/>
  </w:style>
  <w:style w:type="character" w:customStyle="1" w:styleId="slitbdy">
    <w:name w:val="s_lit_bdy"/>
    <w:basedOn w:val="DefaultParagraphFont"/>
    <w:rsid w:val="00CF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e.just.ro/Public/DetaliiDocumentAfis/109226" TargetMode="External"/><Relationship Id="rId4" Type="http://schemas.openxmlformats.org/officeDocument/2006/relationships/hyperlink" Target="https://legislatie.just.ro/Public/DetaliiDocumentAfis/47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3851</Words>
  <Characters>21954</Characters>
  <Application>Microsoft Office Word</Application>
  <DocSecurity>0</DocSecurity>
  <Lines>182</Lines>
  <Paragraphs>51</Paragraphs>
  <ScaleCrop>false</ScaleCrop>
  <Company/>
  <LinksUpToDate>false</LinksUpToDate>
  <CharactersWithSpaces>25754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 generala</dc:creator>
  <cp:keywords/>
  <dc:description/>
  <cp:lastModifiedBy>medicina generala</cp:lastModifiedBy>
  <cp:revision>2</cp:revision>
  <dcterms:created xsi:type="dcterms:W3CDTF">2024-03-21T08:38:00Z</dcterms:created>
  <dcterms:modified xsi:type="dcterms:W3CDTF">2024-03-21T08:45:00Z</dcterms:modified>
</cp:coreProperties>
</file>