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2938B" w14:textId="77777777" w:rsidR="004E141F" w:rsidRPr="004E141F" w:rsidRDefault="004E141F" w:rsidP="004E141F">
      <w:pPr>
        <w:jc w:val="both"/>
        <w:rPr>
          <w:rFonts w:asciiTheme="majorHAnsi" w:hAnsiTheme="majorHAnsi" w:cs="Arial"/>
        </w:rPr>
      </w:pPr>
      <w:r w:rsidRPr="004E141F">
        <w:rPr>
          <w:rFonts w:asciiTheme="majorHAnsi" w:hAnsiTheme="majorHAnsi" w:cs="Arial"/>
        </w:rPr>
        <w:t>Bibliografie:</w:t>
      </w:r>
    </w:p>
    <w:p w14:paraId="5B018F2C" w14:textId="6082EE0D" w:rsidR="006F4DA1" w:rsidRPr="004E141F" w:rsidRDefault="004E141F" w:rsidP="004E141F">
      <w:pPr>
        <w:rPr>
          <w:rFonts w:asciiTheme="majorHAnsi" w:hAnsiTheme="majorHAnsi"/>
        </w:rPr>
      </w:pPr>
      <w:r w:rsidRPr="004E141F">
        <w:rPr>
          <w:rFonts w:asciiTheme="majorHAnsi" w:hAnsiTheme="majorHAnsi" w:cs="Arial"/>
        </w:rPr>
        <w:t>1. Ordonanța Guvernului nr. 65/1994 privind organizarea activității de expertiză contabilă și a contabililor autorizați, republicată în Monitorul Oficial al României, Partea I, nr. 13 din 8 ianuarie 2008, cu modificările și completările ulterioare; 2. Ordonanța Guvernului nr. 2/2000 privind organizarea activității de expertiză tehnică judiciară și extrajudiciară, publicată în Monitorul Oficial al României, Partea I, nr. 26 din 25 ianuarie 2000, aprobată prin Legea nr. 156/2002, cu modificările și completările ulterioare; 3. Legea nr. 134/2010 privind Codul de procedură civilă, republicată în Monitorul Oficial al României, Partea I, nr. 247 din 10 aprilie 2015, cu modificările și completările ulterioare, capitolele referitoare la expertiză; 4. Ordinul Ministerului Justiției nr. 1190/C/13.07.2023 privind aprobarea Nomenclatorului specializărilor expertizei tehnice judiciare, publicat in Monitorul Oficial al României nr. 662 din 19 iulie 2023; 5. Luminita Ionescu, Expertiza contabila in Romania. Teorie si practica, Editia 2, Editura C.H.Beck 2011; 6. Legea nr.207/2015 privind Codul de procedură fiscală, publicată în Monitorul Oficial nr.547/23.07.2015, cu modificările și completările ulterioare; 7. Legea nr.227/2015 privind Codul  fiscal, publicată în Monitorul Oficial nr.688/10.09.2015, cu modificările și completările ulterioare; 8. Legea nr.500/2002 privind Finanțele publice, publicată în Monitorul Oficial nr.597/13.08.2002, cu modificările și completările ulterioare; 9. Hotărarea Guvernului nr.1/2016 pentru aprobarea normelor metodologice  de aplicare a Legii nr. 227/2015 privind Codul Fiscal, publicată în Monitorul Oficial nr.22/13.01.2016, cu modificările și completările ulterioare; 10. Adriana Florina Popa, Mirela Paunescu, Radu Ciobanu, Fiscalitate, Editia a VII a, revizuita si adaugita, Editua CECCAR, Bucuresti 2024; 11. Ordonanța Guvernului nr.65/1994 privind organizarea activității de expertiză contabilă și a contabililor autorizați, republicată în Monitorul Oficial nr.13/08.01.2008, cu modificările și completările ulterioare; 12. IESBA 2020, Manualul privind Codul etic internațional pentru profesioniștii contabili(inclusiv Standardele Internaționale privind independența), ediția 2018, Editua CECCAR; 13. Hotararea Conferinței Naționale a Corpului Experților Contabili și Contabililor Autorizați din Romania nr.1/1995 pentru aprobarea Regulamentului de organizare și funcționare a Corpului Experților Contabili și Contabililor Autorizați din Romania, republicată în Monitorul Oficial nr.601/12.08.2008, cu modificările și completările ulterioare; 14. Ghid pentru pregătirea candidaților la examenul de acces la stagiul pentru obținerea calității de expert contabil și de contabil autorizat, ediția a XIII-a, revizuită, Editura CECCAR, București, 2024; 15. Nicoleta Cristina Matei, Organizarea profesiei contabile in Romania. Expertiza contabila-activitate a profesiei contabile, Editura ProUniversitaria, 2021; 16. Legea societăților nr.31/1990, republicată în Monitorul Oficial nr.1066/17.11.2004, cu modificările și completările ulterioare; 17. Legea Contabilității nr.82/1991, republicată în Monitorul Oficial nr.454/18.06.2008, cu modificările și completările ulterioare; 18. Legea  nr.312/2004 privind Statutul Băncii Naționale a Romaniei, publicată în Monitorul Oficial nr.582/30.06.2004, cu modificările și completările ulterioare; 19. Corina-Graziella Batca-Dumitru, Daniela Nicoleta Sahlian, Alina Mihaela Irimescu, Contabilitate Financiara 2024, Editura CECCAR 2024.</w:t>
      </w:r>
    </w:p>
    <w:sectPr w:rsidR="006F4DA1" w:rsidRPr="004E1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41"/>
    <w:rsid w:val="004E141F"/>
    <w:rsid w:val="006F4DA1"/>
    <w:rsid w:val="00D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55486-5535-4A6E-91B4-3180AD15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1F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0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0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04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04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04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04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04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04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04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0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0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0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0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0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0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D2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04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D2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04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D20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041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D20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0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0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2024-12-17T10:32:00Z</dcterms:created>
  <dcterms:modified xsi:type="dcterms:W3CDTF">2024-12-17T10:32:00Z</dcterms:modified>
</cp:coreProperties>
</file>